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2FEE1" w14:textId="0E09BBD6" w:rsidR="001C4FB6" w:rsidRPr="00D431AA" w:rsidRDefault="001C4FB6" w:rsidP="00FB6409">
      <w:pPr>
        <w:pStyle w:val="AppendixHeading"/>
        <w:framePr w:wrap="notBeside"/>
        <w:numPr>
          <w:ilvl w:val="0"/>
          <w:numId w:val="0"/>
        </w:numPr>
        <w:jc w:val="center"/>
      </w:pPr>
      <w:r w:rsidRPr="00D431AA">
        <w:t xml:space="preserve">Appendix </w:t>
      </w:r>
      <w:r w:rsidR="00BD6525">
        <w:t>6</w:t>
      </w:r>
      <w:r w:rsidR="00184EF1" w:rsidRPr="00D431AA">
        <w:t xml:space="preserve">: </w:t>
      </w:r>
      <w:r w:rsidR="00070EEB" w:rsidRPr="00D431AA">
        <w:t xml:space="preserve">Parkes </w:t>
      </w:r>
      <w:r w:rsidRPr="00D431AA">
        <w:t>Special Activation Precinct</w:t>
      </w:r>
    </w:p>
    <w:p w14:paraId="04F19DE0" w14:textId="21426B66" w:rsidR="00D431AA" w:rsidRDefault="00D431AA" w:rsidP="00057D77">
      <w:pPr>
        <w:pStyle w:val="AppendixSubHeading"/>
        <w:numPr>
          <w:ilvl w:val="0"/>
          <w:numId w:val="0"/>
        </w:numPr>
      </w:pPr>
      <w:r>
        <w:lastRenderedPageBreak/>
        <w:t xml:space="preserve">Appendix </w:t>
      </w:r>
      <w:r w:rsidR="00BD6525">
        <w:t>6</w:t>
      </w:r>
      <w:r>
        <w:t>: Parkes Special Activation Precinct</w:t>
      </w:r>
    </w:p>
    <w:p w14:paraId="77A73061" w14:textId="3D0CF9D0" w:rsidR="00390AA9" w:rsidRPr="00390AA9" w:rsidRDefault="00390AA9" w:rsidP="00E46998">
      <w:pPr>
        <w:rPr>
          <w:rStyle w:val="BoldCharacter"/>
        </w:rPr>
      </w:pPr>
      <w:r w:rsidRPr="00390AA9">
        <w:rPr>
          <w:rStyle w:val="BoldCharacter"/>
        </w:rPr>
        <w:t xml:space="preserve">This </w:t>
      </w:r>
      <w:r w:rsidR="00173ECB">
        <w:rPr>
          <w:rStyle w:val="BoldCharacter"/>
        </w:rPr>
        <w:t>A</w:t>
      </w:r>
      <w:r w:rsidRPr="00390AA9">
        <w:rPr>
          <w:rStyle w:val="BoldCharacter"/>
        </w:rPr>
        <w:t xml:space="preserve">ppendix contains special provisions for </w:t>
      </w:r>
      <w:r w:rsidR="00855397">
        <w:rPr>
          <w:rStyle w:val="BoldCharacter"/>
        </w:rPr>
        <w:t xml:space="preserve">development on land within </w:t>
      </w:r>
      <w:r w:rsidRPr="00390AA9">
        <w:rPr>
          <w:rStyle w:val="BoldCharacter"/>
        </w:rPr>
        <w:t>the Parkes Special Activation Precinct</w:t>
      </w:r>
      <w:r w:rsidR="0020154C">
        <w:rPr>
          <w:rStyle w:val="BoldCharacter"/>
        </w:rPr>
        <w:t xml:space="preserve"> </w:t>
      </w:r>
      <w:r w:rsidR="00647BFC" w:rsidRPr="00647BFC">
        <w:rPr>
          <w:rStyle w:val="BoldCharacter"/>
        </w:rPr>
        <w:t xml:space="preserve">In response to the tightening commercial realities of development within the Precincts, RGDC has made the decision to defer application of an additional 2% s7.12 contribution within the Parkes Precinct until 1 January 2027.  This decision is the result of engagement with industry and wider stakeholders, including Councils, to continue supporting a resilient environment to further promote economic development and the creation of jobs within the Precincts. </w:t>
      </w:r>
    </w:p>
    <w:p w14:paraId="010C13FB" w14:textId="5B7534E8" w:rsidR="00E46998" w:rsidRDefault="00CA24FE" w:rsidP="00E46998">
      <w:r>
        <w:t xml:space="preserve">This </w:t>
      </w:r>
      <w:r w:rsidR="00173ECB">
        <w:t>A</w:t>
      </w:r>
      <w:r>
        <w:t>ppendix</w:t>
      </w:r>
      <w:r w:rsidR="00390AA9">
        <w:t xml:space="preserve"> </w:t>
      </w:r>
      <w:r w:rsidR="00E46998">
        <w:t>is structured as follows:</w:t>
      </w:r>
    </w:p>
    <w:p w14:paraId="1CED5CB9" w14:textId="5F26DF13" w:rsidR="00E46998" w:rsidRDefault="00961041" w:rsidP="00E46998">
      <w:pPr>
        <w:pStyle w:val="ListBullet"/>
      </w:pPr>
      <w:r>
        <w:fldChar w:fldCharType="begin"/>
      </w:r>
      <w:r>
        <w:instrText xml:space="preserve"> REF _Ref146103061 \r \h </w:instrText>
      </w:r>
      <w:r>
        <w:fldChar w:fldCharType="separate"/>
      </w:r>
      <w:r w:rsidR="003C6AA3">
        <w:t>6.1:</w:t>
      </w:r>
      <w:r>
        <w:fldChar w:fldCharType="end"/>
      </w:r>
      <w:r w:rsidR="00235561">
        <w:t xml:space="preserve"> </w:t>
      </w:r>
      <w:r w:rsidR="00E46998">
        <w:t>Background</w:t>
      </w:r>
    </w:p>
    <w:p w14:paraId="6326A8D3" w14:textId="0EF51A3D" w:rsidR="004574D9" w:rsidRDefault="00961041" w:rsidP="00E46998">
      <w:pPr>
        <w:pStyle w:val="ListBullet"/>
      </w:pPr>
      <w:r>
        <w:fldChar w:fldCharType="begin"/>
      </w:r>
      <w:r>
        <w:instrText xml:space="preserve"> REF _Ref146103070 \r \h </w:instrText>
      </w:r>
      <w:r>
        <w:fldChar w:fldCharType="separate"/>
      </w:r>
      <w:r w:rsidR="003C6AA3">
        <w:t>6.2:</w:t>
      </w:r>
      <w:r>
        <w:fldChar w:fldCharType="end"/>
      </w:r>
      <w:r w:rsidR="00235561">
        <w:t xml:space="preserve"> </w:t>
      </w:r>
      <w:r w:rsidR="004574D9">
        <w:t>Role of Regional Growth NSW Development Corporation</w:t>
      </w:r>
    </w:p>
    <w:p w14:paraId="2C6CD716" w14:textId="4B70638E" w:rsidR="00E46998" w:rsidRDefault="00961041" w:rsidP="00E46998">
      <w:pPr>
        <w:pStyle w:val="ListBullet"/>
      </w:pPr>
      <w:r>
        <w:fldChar w:fldCharType="begin"/>
      </w:r>
      <w:r>
        <w:instrText xml:space="preserve"> REF _Ref146103078 \r \h </w:instrText>
      </w:r>
      <w:r>
        <w:fldChar w:fldCharType="separate"/>
      </w:r>
      <w:r w:rsidR="003C6AA3">
        <w:t>6.3:</w:t>
      </w:r>
      <w:r>
        <w:fldChar w:fldCharType="end"/>
      </w:r>
      <w:r w:rsidR="00235561">
        <w:t xml:space="preserve"> </w:t>
      </w:r>
      <w:r w:rsidR="00390AA9">
        <w:t xml:space="preserve">Relationship of this </w:t>
      </w:r>
      <w:r w:rsidR="00173ECB">
        <w:t>A</w:t>
      </w:r>
      <w:r w:rsidR="00390AA9">
        <w:t>ppendix to other parts of this Plan</w:t>
      </w:r>
    </w:p>
    <w:p w14:paraId="00E0A557" w14:textId="1981567A" w:rsidR="00ED1E5B" w:rsidRDefault="00961041" w:rsidP="00E46998">
      <w:pPr>
        <w:pStyle w:val="ListBullet"/>
      </w:pPr>
      <w:r>
        <w:fldChar w:fldCharType="begin"/>
      </w:r>
      <w:r>
        <w:instrText xml:space="preserve"> REF _Ref146103084 \r \h </w:instrText>
      </w:r>
      <w:r>
        <w:fldChar w:fldCharType="separate"/>
      </w:r>
      <w:r w:rsidR="003C6AA3">
        <w:t>6.5:</w:t>
      </w:r>
      <w:r>
        <w:fldChar w:fldCharType="end"/>
      </w:r>
      <w:r w:rsidR="00235561">
        <w:t xml:space="preserve"> </w:t>
      </w:r>
      <w:r w:rsidR="00ED1E5B">
        <w:t xml:space="preserve">Relationship </w:t>
      </w:r>
      <w:r w:rsidR="00526C8E">
        <w:t xml:space="preserve">of this Appendix </w:t>
      </w:r>
      <w:r w:rsidR="00ED1E5B">
        <w:t>to other Plans and Policies</w:t>
      </w:r>
    </w:p>
    <w:p w14:paraId="3193D5A7" w14:textId="7704066F" w:rsidR="00390AA9" w:rsidRDefault="00ED1E5B" w:rsidP="00E46998">
      <w:pPr>
        <w:pStyle w:val="ListBullet"/>
      </w:pPr>
      <w:r>
        <w:t xml:space="preserve">6.5: </w:t>
      </w:r>
      <w:r w:rsidR="00794737">
        <w:t xml:space="preserve">Land to which this </w:t>
      </w:r>
      <w:r w:rsidR="00173ECB">
        <w:t>A</w:t>
      </w:r>
      <w:r w:rsidR="00794737">
        <w:t>ppendix applies</w:t>
      </w:r>
    </w:p>
    <w:p w14:paraId="63966B67" w14:textId="3FA72B84" w:rsidR="004D2889" w:rsidRDefault="00961041" w:rsidP="00E46998">
      <w:pPr>
        <w:pStyle w:val="ListBullet"/>
      </w:pPr>
      <w:r>
        <w:fldChar w:fldCharType="begin"/>
      </w:r>
      <w:r>
        <w:instrText xml:space="preserve"> REF _Ref146103090 \r \h </w:instrText>
      </w:r>
      <w:r>
        <w:fldChar w:fldCharType="separate"/>
      </w:r>
      <w:r w:rsidR="003C6AA3">
        <w:t>6.6:</w:t>
      </w:r>
      <w:r>
        <w:fldChar w:fldCharType="end"/>
      </w:r>
      <w:r w:rsidR="00235561">
        <w:t xml:space="preserve"> </w:t>
      </w:r>
      <w:r w:rsidR="004D2889">
        <w:t xml:space="preserve">Development to which this </w:t>
      </w:r>
      <w:r w:rsidR="00173ECB">
        <w:t>A</w:t>
      </w:r>
      <w:r w:rsidR="004D2889">
        <w:t>ppendix applies</w:t>
      </w:r>
    </w:p>
    <w:p w14:paraId="04C0F9AB" w14:textId="4A2A638D" w:rsidR="00794737" w:rsidRDefault="00961041" w:rsidP="00E46998">
      <w:pPr>
        <w:pStyle w:val="ListBullet"/>
      </w:pPr>
      <w:r>
        <w:fldChar w:fldCharType="begin"/>
      </w:r>
      <w:r>
        <w:instrText xml:space="preserve"> REF _Ref146103095 \r \h </w:instrText>
      </w:r>
      <w:r>
        <w:fldChar w:fldCharType="separate"/>
      </w:r>
      <w:r w:rsidR="003C6AA3">
        <w:t>6.7:</w:t>
      </w:r>
      <w:r>
        <w:fldChar w:fldCharType="end"/>
      </w:r>
      <w:r w:rsidR="00235561">
        <w:t xml:space="preserve"> </w:t>
      </w:r>
      <w:r w:rsidR="00794737">
        <w:t>Contribution rates</w:t>
      </w:r>
    </w:p>
    <w:p w14:paraId="66B892FA" w14:textId="67EDC01E" w:rsidR="00794737" w:rsidRDefault="00961041" w:rsidP="00E46998">
      <w:pPr>
        <w:pStyle w:val="ListBullet"/>
      </w:pPr>
      <w:r>
        <w:fldChar w:fldCharType="begin"/>
      </w:r>
      <w:r>
        <w:instrText xml:space="preserve"> REF _Ref146096758 \r \h </w:instrText>
      </w:r>
      <w:r>
        <w:fldChar w:fldCharType="separate"/>
      </w:r>
      <w:r w:rsidR="003C6AA3">
        <w:t>6.8:</w:t>
      </w:r>
      <w:r>
        <w:fldChar w:fldCharType="end"/>
      </w:r>
      <w:r w:rsidR="00235561">
        <w:t xml:space="preserve"> </w:t>
      </w:r>
      <w:r w:rsidR="00794737">
        <w:t>Use of contributions</w:t>
      </w:r>
    </w:p>
    <w:p w14:paraId="4DBF2511" w14:textId="65844A39" w:rsidR="00076277" w:rsidRDefault="00961041" w:rsidP="00E46998">
      <w:pPr>
        <w:pStyle w:val="ListBullet"/>
      </w:pPr>
      <w:r>
        <w:fldChar w:fldCharType="begin"/>
      </w:r>
      <w:r>
        <w:instrText xml:space="preserve"> REF _Ref146103105 \r \h </w:instrText>
      </w:r>
      <w:r>
        <w:fldChar w:fldCharType="separate"/>
      </w:r>
      <w:r w:rsidR="003C6AA3">
        <w:t>6.9:</w:t>
      </w:r>
      <w:r>
        <w:fldChar w:fldCharType="end"/>
      </w:r>
      <w:r w:rsidR="00235561">
        <w:t xml:space="preserve"> </w:t>
      </w:r>
      <w:r w:rsidR="00076277">
        <w:t xml:space="preserve">Review of this </w:t>
      </w:r>
      <w:r w:rsidR="00173ECB">
        <w:t>A</w:t>
      </w:r>
      <w:r w:rsidR="00076277">
        <w:t>ppendix</w:t>
      </w:r>
    </w:p>
    <w:p w14:paraId="142DFFCB" w14:textId="39B43BAE" w:rsidR="00235561" w:rsidRDefault="00235561" w:rsidP="00E46998">
      <w:pPr>
        <w:pStyle w:val="ListBullet"/>
      </w:pPr>
      <w:r>
        <w:fldChar w:fldCharType="begin"/>
      </w:r>
      <w:r>
        <w:instrText xml:space="preserve"> REF _Ref146103154 \r \h </w:instrText>
      </w:r>
      <w:r>
        <w:fldChar w:fldCharType="separate"/>
      </w:r>
      <w:r w:rsidR="003C6AA3">
        <w:t>6.10:</w:t>
      </w:r>
      <w:r>
        <w:fldChar w:fldCharType="end"/>
      </w:r>
      <w:r>
        <w:t xml:space="preserve"> Strategic </w:t>
      </w:r>
      <w:r w:rsidR="00795095">
        <w:t>p</w:t>
      </w:r>
      <w:r>
        <w:t xml:space="preserve">lanning </w:t>
      </w:r>
      <w:r w:rsidR="00795095">
        <w:t>f</w:t>
      </w:r>
      <w:r>
        <w:t>ramework</w:t>
      </w:r>
    </w:p>
    <w:p w14:paraId="756ED937" w14:textId="21303EE2" w:rsidR="00794737" w:rsidRDefault="00235561" w:rsidP="00E46998">
      <w:pPr>
        <w:pStyle w:val="ListBullet"/>
      </w:pPr>
      <w:r>
        <w:fldChar w:fldCharType="begin"/>
      </w:r>
      <w:r>
        <w:instrText xml:space="preserve"> REF _Ref146103161 \r \h </w:instrText>
      </w:r>
      <w:r>
        <w:fldChar w:fldCharType="separate"/>
      </w:r>
      <w:r w:rsidR="003C6AA3">
        <w:t>6.11:</w:t>
      </w:r>
      <w:r>
        <w:fldChar w:fldCharType="end"/>
      </w:r>
      <w:r>
        <w:t xml:space="preserve"> </w:t>
      </w:r>
      <w:r w:rsidR="00794737">
        <w:t>Expected development</w:t>
      </w:r>
    </w:p>
    <w:p w14:paraId="73392245" w14:textId="53571925" w:rsidR="00794737" w:rsidRDefault="00235561" w:rsidP="00E46998">
      <w:pPr>
        <w:pStyle w:val="ListBullet"/>
      </w:pPr>
      <w:r>
        <w:fldChar w:fldCharType="begin"/>
      </w:r>
      <w:r>
        <w:instrText xml:space="preserve"> REF _Ref146103166 \r \h </w:instrText>
      </w:r>
      <w:r>
        <w:fldChar w:fldCharType="separate"/>
      </w:r>
      <w:r w:rsidR="003C6AA3">
        <w:t>6.12:</w:t>
      </w:r>
      <w:r>
        <w:fldChar w:fldCharType="end"/>
      </w:r>
      <w:r>
        <w:t xml:space="preserve"> </w:t>
      </w:r>
      <w:r w:rsidR="00794737">
        <w:t>Infrastructure strategy</w:t>
      </w:r>
    </w:p>
    <w:p w14:paraId="142882A0" w14:textId="0F1D7386" w:rsidR="00540B03" w:rsidRDefault="00235561" w:rsidP="00E46998">
      <w:pPr>
        <w:pStyle w:val="ListBullet"/>
      </w:pPr>
      <w:r>
        <w:fldChar w:fldCharType="begin"/>
      </w:r>
      <w:r>
        <w:instrText xml:space="preserve"> REF _Ref146094602 \r \h </w:instrText>
      </w:r>
      <w:r>
        <w:fldChar w:fldCharType="separate"/>
      </w:r>
      <w:r w:rsidR="003C6AA3">
        <w:t>6.14:</w:t>
      </w:r>
      <w:r>
        <w:fldChar w:fldCharType="end"/>
      </w:r>
      <w:r>
        <w:t xml:space="preserve"> </w:t>
      </w:r>
      <w:r w:rsidR="00540B03">
        <w:t xml:space="preserve">Justification </w:t>
      </w:r>
      <w:r w:rsidR="004B5AC0">
        <w:t>for 3 per cent levy</w:t>
      </w:r>
    </w:p>
    <w:p w14:paraId="070B78DC" w14:textId="490DA109" w:rsidR="00794737" w:rsidRDefault="00540B03" w:rsidP="00E46998">
      <w:pPr>
        <w:pStyle w:val="ListBullet"/>
      </w:pPr>
      <w:r>
        <w:t>6</w:t>
      </w:r>
      <w:r w:rsidR="004B5AC0">
        <w:t xml:space="preserve">.14: </w:t>
      </w:r>
      <w:r w:rsidR="00337CBC">
        <w:t xml:space="preserve">Infrastructure </w:t>
      </w:r>
      <w:r w:rsidR="00794737">
        <w:t>schedule</w:t>
      </w:r>
    </w:p>
    <w:p w14:paraId="16F83A68" w14:textId="3B0E1616" w:rsidR="00794737" w:rsidRDefault="00235561" w:rsidP="00235561">
      <w:pPr>
        <w:pStyle w:val="ListBullet"/>
      </w:pPr>
      <w:r>
        <w:fldChar w:fldCharType="begin"/>
      </w:r>
      <w:r>
        <w:instrText xml:space="preserve"> REF _Ref146103184 \r \h </w:instrText>
      </w:r>
      <w:r>
        <w:fldChar w:fldCharType="separate"/>
      </w:r>
      <w:r w:rsidR="003C6AA3">
        <w:t>6.15:</w:t>
      </w:r>
      <w:r>
        <w:fldChar w:fldCharType="end"/>
      </w:r>
      <w:r>
        <w:t xml:space="preserve"> </w:t>
      </w:r>
      <w:r w:rsidR="00337CBC">
        <w:t xml:space="preserve">Infrastructure location </w:t>
      </w:r>
      <w:r w:rsidR="00794737">
        <w:t>map</w:t>
      </w:r>
      <w:r w:rsidR="00337CBC">
        <w:t>s</w:t>
      </w:r>
      <w:r w:rsidR="00794737">
        <w:t>.</w:t>
      </w:r>
    </w:p>
    <w:p w14:paraId="36910A01" w14:textId="7FAAF793" w:rsidR="001C4FB6" w:rsidRPr="00F719B4" w:rsidRDefault="001C4FB6" w:rsidP="00057D77">
      <w:pPr>
        <w:pStyle w:val="AppendixSubHeading"/>
      </w:pPr>
      <w:bookmarkStart w:id="0" w:name="_Ref146103061"/>
      <w:r w:rsidRPr="00F719B4">
        <w:t>Background</w:t>
      </w:r>
      <w:bookmarkEnd w:id="0"/>
    </w:p>
    <w:p w14:paraId="75398D72" w14:textId="515E12EF" w:rsidR="001C4FB6" w:rsidRPr="001C4FB6" w:rsidRDefault="001C4FB6" w:rsidP="001C4FB6">
      <w:pPr>
        <w:rPr>
          <w:rFonts w:cs="Leelawadee UI Semilight"/>
        </w:rPr>
      </w:pPr>
      <w:r w:rsidRPr="001C4FB6">
        <w:rPr>
          <w:rFonts w:cs="Leelawadee UI Semilight"/>
        </w:rPr>
        <w:t xml:space="preserve">NSW Special Activation </w:t>
      </w:r>
      <w:r w:rsidR="00EB7DEA" w:rsidRPr="001C4FB6">
        <w:rPr>
          <w:rFonts w:cs="Leelawadee UI Semilight"/>
        </w:rPr>
        <w:t>Precincts are</w:t>
      </w:r>
      <w:r w:rsidRPr="001C4FB6">
        <w:rPr>
          <w:rFonts w:cs="Leelawadee UI Semilight"/>
        </w:rPr>
        <w:t xml:space="preserve"> areas in regional NSW that bring together planning and investment to boost jobs. They are being delivered by the NSW Government as part of the $4.2</w:t>
      </w:r>
      <w:r w:rsidR="009A39DF">
        <w:rPr>
          <w:rFonts w:cs="Leelawadee UI Semilight"/>
        </w:rPr>
        <w:t> billion</w:t>
      </w:r>
      <w:r w:rsidRPr="001C4FB6">
        <w:rPr>
          <w:rFonts w:cs="Leelawadee UI Semilight"/>
        </w:rPr>
        <w:t xml:space="preserve"> Snowy Hydro Legacy Fund and being led by Regional Growth NSW Development Corporation (</w:t>
      </w:r>
      <w:r w:rsidRPr="009A39DF">
        <w:rPr>
          <w:rStyle w:val="BoldCharacter"/>
        </w:rPr>
        <w:t>RGDC</w:t>
      </w:r>
      <w:r w:rsidRPr="001C4FB6">
        <w:rPr>
          <w:rFonts w:cs="Leelawadee UI Semilight"/>
        </w:rPr>
        <w:t>).</w:t>
      </w:r>
    </w:p>
    <w:p w14:paraId="2B441BE4" w14:textId="621762FF" w:rsidR="00CF5E2A" w:rsidRDefault="001C4FB6" w:rsidP="001C4FB6">
      <w:pPr>
        <w:rPr>
          <w:rFonts w:cs="Leelawadee UI Semilight"/>
        </w:rPr>
      </w:pPr>
      <w:r w:rsidRPr="001C4FB6">
        <w:rPr>
          <w:rFonts w:cs="Leelawadee UI Semilight"/>
        </w:rPr>
        <w:lastRenderedPageBreak/>
        <w:t xml:space="preserve">The </w:t>
      </w:r>
      <w:r w:rsidR="009A39DF">
        <w:rPr>
          <w:rFonts w:cs="Leelawadee UI Semilight"/>
        </w:rPr>
        <w:t>Parkes</w:t>
      </w:r>
      <w:r w:rsidRPr="001C4FB6">
        <w:rPr>
          <w:rFonts w:cs="Leelawadee UI Semilight"/>
        </w:rPr>
        <w:t xml:space="preserve"> S</w:t>
      </w:r>
      <w:r w:rsidR="00463597">
        <w:rPr>
          <w:rFonts w:cs="Leelawadee UI Semilight"/>
        </w:rPr>
        <w:t xml:space="preserve">pecial </w:t>
      </w:r>
      <w:r w:rsidRPr="001C4FB6">
        <w:rPr>
          <w:rFonts w:cs="Leelawadee UI Semilight"/>
        </w:rPr>
        <w:t>A</w:t>
      </w:r>
      <w:r w:rsidR="00463597">
        <w:rPr>
          <w:rFonts w:cs="Leelawadee UI Semilight"/>
        </w:rPr>
        <w:t xml:space="preserve">ctivation </w:t>
      </w:r>
      <w:r w:rsidRPr="001C4FB6">
        <w:rPr>
          <w:rFonts w:cs="Leelawadee UI Semilight"/>
        </w:rPr>
        <w:t>P</w:t>
      </w:r>
      <w:r w:rsidR="00463597">
        <w:rPr>
          <w:rFonts w:cs="Leelawadee UI Semilight"/>
        </w:rPr>
        <w:t>recinct (</w:t>
      </w:r>
      <w:r w:rsidR="00463597" w:rsidRPr="00D52F43">
        <w:rPr>
          <w:rStyle w:val="BoldCharacter"/>
        </w:rPr>
        <w:t>Precinct</w:t>
      </w:r>
      <w:r w:rsidR="00463597">
        <w:rPr>
          <w:rFonts w:cs="Leelawadee UI Semilight"/>
        </w:rPr>
        <w:t>)</w:t>
      </w:r>
      <w:r w:rsidRPr="001C4FB6">
        <w:rPr>
          <w:rFonts w:cs="Leelawadee UI Semilight"/>
        </w:rPr>
        <w:t xml:space="preserve"> is one of </w:t>
      </w:r>
      <w:r w:rsidR="001963A7">
        <w:rPr>
          <w:rFonts w:cs="Leelawadee UI Semilight"/>
        </w:rPr>
        <w:t>four</w:t>
      </w:r>
      <w:r w:rsidRPr="001C4FB6">
        <w:rPr>
          <w:rFonts w:cs="Leelawadee UI Semilight"/>
        </w:rPr>
        <w:t xml:space="preserve"> </w:t>
      </w:r>
      <w:r w:rsidR="00463597">
        <w:rPr>
          <w:rFonts w:cs="Leelawadee UI Semilight"/>
        </w:rPr>
        <w:t xml:space="preserve">Precincts </w:t>
      </w:r>
      <w:r w:rsidR="00687EB8">
        <w:rPr>
          <w:rFonts w:cs="Leelawadee UI Semilight"/>
        </w:rPr>
        <w:t xml:space="preserve">being delivered </w:t>
      </w:r>
      <w:r w:rsidRPr="001C4FB6">
        <w:rPr>
          <w:rFonts w:cs="Leelawadee UI Semilight"/>
        </w:rPr>
        <w:t xml:space="preserve">in NSW. The other </w:t>
      </w:r>
      <w:r w:rsidR="00463597">
        <w:rPr>
          <w:rFonts w:cs="Leelawadee UI Semilight"/>
        </w:rPr>
        <w:t xml:space="preserve">Precincts </w:t>
      </w:r>
      <w:r w:rsidRPr="001C4FB6">
        <w:rPr>
          <w:rFonts w:cs="Leelawadee UI Semilight"/>
        </w:rPr>
        <w:t xml:space="preserve">comprise Moree, </w:t>
      </w:r>
      <w:r w:rsidR="00687EB8">
        <w:rPr>
          <w:rFonts w:cs="Leelawadee UI Semilight"/>
        </w:rPr>
        <w:t>Wagga Wagga</w:t>
      </w:r>
      <w:r w:rsidRPr="001C4FB6">
        <w:rPr>
          <w:rFonts w:cs="Leelawadee UI Semilight"/>
        </w:rPr>
        <w:t xml:space="preserve">, </w:t>
      </w:r>
      <w:r w:rsidR="009C2A2E">
        <w:rPr>
          <w:rFonts w:cs="Leelawadee UI Semilight"/>
        </w:rPr>
        <w:t xml:space="preserve">and </w:t>
      </w:r>
      <w:r w:rsidRPr="001C4FB6">
        <w:rPr>
          <w:rFonts w:cs="Leelawadee UI Semilight"/>
        </w:rPr>
        <w:t xml:space="preserve">Snowy Mountains. Key elements of each </w:t>
      </w:r>
      <w:r w:rsidR="00463597">
        <w:rPr>
          <w:rFonts w:cs="Leelawadee UI Semilight"/>
        </w:rPr>
        <w:t xml:space="preserve">Precinct </w:t>
      </w:r>
      <w:r w:rsidR="00687EB8">
        <w:rPr>
          <w:rFonts w:cs="Leelawadee UI Semilight"/>
        </w:rPr>
        <w:t>comprise</w:t>
      </w:r>
      <w:r w:rsidR="00CF5E2A">
        <w:rPr>
          <w:rFonts w:cs="Leelawadee UI Semilight"/>
        </w:rPr>
        <w:t>:</w:t>
      </w:r>
    </w:p>
    <w:p w14:paraId="374EE661" w14:textId="4D14F8F2" w:rsidR="00CF5E2A" w:rsidRDefault="000915E7" w:rsidP="00CF5E2A">
      <w:pPr>
        <w:pStyle w:val="ListBullet"/>
      </w:pPr>
      <w:r>
        <w:t>G</w:t>
      </w:r>
      <w:r w:rsidR="001C4FB6" w:rsidRPr="001C4FB6">
        <w:t>overnment-led studies</w:t>
      </w:r>
    </w:p>
    <w:p w14:paraId="6B0E8BC9" w14:textId="50340F65" w:rsidR="000915E7" w:rsidRDefault="000915E7" w:rsidP="00CF5E2A">
      <w:pPr>
        <w:pStyle w:val="ListBullet"/>
      </w:pPr>
      <w:r>
        <w:t>F</w:t>
      </w:r>
      <w:r w:rsidR="001C4FB6" w:rsidRPr="001C4FB6">
        <w:t>ast-track planning</w:t>
      </w:r>
      <w:r>
        <w:t xml:space="preserve">, </w:t>
      </w:r>
      <w:r w:rsidR="001C6528">
        <w:t>for example,</w:t>
      </w:r>
      <w:r w:rsidR="001C4FB6" w:rsidRPr="001C4FB6">
        <w:t xml:space="preserve"> exempt and complying development</w:t>
      </w:r>
    </w:p>
    <w:p w14:paraId="5C736EF8" w14:textId="35D45880" w:rsidR="000915E7" w:rsidRDefault="000915E7" w:rsidP="00CF5E2A">
      <w:pPr>
        <w:pStyle w:val="ListBullet"/>
      </w:pPr>
      <w:r>
        <w:t>I</w:t>
      </w:r>
      <w:r w:rsidR="001C4FB6" w:rsidRPr="001C4FB6">
        <w:t>nfrastructure development</w:t>
      </w:r>
    </w:p>
    <w:p w14:paraId="3BF43A63" w14:textId="65F46E6A" w:rsidR="001C4FB6" w:rsidRDefault="000915E7" w:rsidP="00CF5E2A">
      <w:pPr>
        <w:pStyle w:val="ListBullet"/>
      </w:pPr>
      <w:r>
        <w:t>B</w:t>
      </w:r>
      <w:r w:rsidR="001C4FB6" w:rsidRPr="001C4FB6">
        <w:t>usiness concierge.</w:t>
      </w:r>
    </w:p>
    <w:p w14:paraId="237EC65D" w14:textId="7351AB68" w:rsidR="00DA61B8" w:rsidRDefault="00DA61B8" w:rsidP="00DA61B8">
      <w:pPr>
        <w:rPr>
          <w:rFonts w:cs="Leelawadee UI Semilight"/>
        </w:rPr>
      </w:pPr>
      <w:r w:rsidRPr="00DA61B8">
        <w:rPr>
          <w:rFonts w:cs="Leelawadee UI Semilight"/>
        </w:rPr>
        <w:t xml:space="preserve">The Parkes </w:t>
      </w:r>
      <w:r w:rsidR="00463597">
        <w:rPr>
          <w:rFonts w:cs="Leelawadee UI Semilight"/>
        </w:rPr>
        <w:t>Precinct</w:t>
      </w:r>
      <w:r w:rsidR="00463597" w:rsidRPr="00DA61B8">
        <w:rPr>
          <w:rFonts w:cs="Leelawadee UI Semilight"/>
        </w:rPr>
        <w:t xml:space="preserve"> </w:t>
      </w:r>
      <w:r w:rsidRPr="00DA61B8">
        <w:rPr>
          <w:rFonts w:cs="Leelawadee UI Semilight"/>
        </w:rPr>
        <w:t xml:space="preserve">is a 4,821-hectare (ha) site, located 3 kilometres west of the Parkes township. </w:t>
      </w:r>
      <w:r w:rsidR="00136E8C">
        <w:rPr>
          <w:rFonts w:cs="Leelawadee UI Semilight"/>
        </w:rPr>
        <w:t>It</w:t>
      </w:r>
      <w:r w:rsidRPr="00DA61B8">
        <w:rPr>
          <w:rFonts w:cs="Leelawadee UI Semilight"/>
        </w:rPr>
        <w:t xml:space="preserve"> builds </w:t>
      </w:r>
      <w:r w:rsidR="007D43FC">
        <w:rPr>
          <w:rFonts w:cs="Leelawadee UI Semilight"/>
        </w:rPr>
        <w:t>on</w:t>
      </w:r>
      <w:r w:rsidRPr="00DA61B8">
        <w:rPr>
          <w:rFonts w:cs="Leelawadee UI Semilight"/>
        </w:rPr>
        <w:t xml:space="preserve"> Council’s development of the Parkes National Logistics Hub to establish a new enterprise hub taking advantage of the existing east-west Sydney to Perth and Adelaide rail corridor and the construction of an inland rail from Melbourne to Brisbane.</w:t>
      </w:r>
    </w:p>
    <w:p w14:paraId="59641D8E" w14:textId="33FC6B75" w:rsidR="002E6D2F" w:rsidRPr="00DA61B8" w:rsidRDefault="002E6D2F" w:rsidP="00DA61B8">
      <w:pPr>
        <w:rPr>
          <w:rFonts w:cs="Leelawadee UI Semilight"/>
        </w:rPr>
      </w:pPr>
      <w:r w:rsidRPr="002E6D2F">
        <w:rPr>
          <w:rFonts w:cs="Leelawadee UI Semilight"/>
        </w:rPr>
        <w:t xml:space="preserve">The Parkes </w:t>
      </w:r>
      <w:r w:rsidR="00463597">
        <w:rPr>
          <w:rFonts w:cs="Leelawadee UI Semilight"/>
        </w:rPr>
        <w:t>Precinct</w:t>
      </w:r>
      <w:r w:rsidR="00463597" w:rsidRPr="002E6D2F" w:rsidDel="00463597">
        <w:rPr>
          <w:rFonts w:cs="Leelawadee UI Semilight"/>
        </w:rPr>
        <w:t xml:space="preserve"> </w:t>
      </w:r>
      <w:r w:rsidRPr="002E6D2F">
        <w:rPr>
          <w:rFonts w:cs="Leelawadee UI Semilight"/>
        </w:rPr>
        <w:t>Master Plan came into effect on 12 June 2020. In March 2022 the Activation Precincts S</w:t>
      </w:r>
      <w:r w:rsidR="00463597">
        <w:rPr>
          <w:rFonts w:cs="Leelawadee UI Semilight"/>
        </w:rPr>
        <w:t xml:space="preserve">tate </w:t>
      </w:r>
      <w:r w:rsidRPr="002E6D2F">
        <w:rPr>
          <w:rFonts w:cs="Leelawadee UI Semilight"/>
        </w:rPr>
        <w:t>E</w:t>
      </w:r>
      <w:r w:rsidR="00463597">
        <w:rPr>
          <w:rFonts w:cs="Leelawadee UI Semilight"/>
        </w:rPr>
        <w:t xml:space="preserve">nvironmental </w:t>
      </w:r>
      <w:r w:rsidRPr="002E6D2F">
        <w:rPr>
          <w:rFonts w:cs="Leelawadee UI Semilight"/>
        </w:rPr>
        <w:t>P</w:t>
      </w:r>
      <w:r w:rsidR="00463597">
        <w:rPr>
          <w:rFonts w:cs="Leelawadee UI Semilight"/>
        </w:rPr>
        <w:t xml:space="preserve">lanning </w:t>
      </w:r>
      <w:r w:rsidRPr="002E6D2F">
        <w:rPr>
          <w:rFonts w:cs="Leelawadee UI Semilight"/>
        </w:rPr>
        <w:t>P</w:t>
      </w:r>
      <w:r w:rsidR="00463597">
        <w:rPr>
          <w:rFonts w:cs="Leelawadee UI Semilight"/>
        </w:rPr>
        <w:t>olicy (</w:t>
      </w:r>
      <w:r w:rsidR="00463597" w:rsidRPr="00FC1994">
        <w:rPr>
          <w:rFonts w:cs="Leelawadee UI Semilight"/>
          <w:b/>
          <w:bCs/>
        </w:rPr>
        <w:t>SEPP</w:t>
      </w:r>
      <w:r w:rsidR="00463597">
        <w:rPr>
          <w:rFonts w:cs="Leelawadee UI Semilight"/>
        </w:rPr>
        <w:t>)</w:t>
      </w:r>
      <w:r w:rsidRPr="002E6D2F">
        <w:rPr>
          <w:rFonts w:cs="Leelawadee UI Semilight"/>
        </w:rPr>
        <w:t xml:space="preserve"> was consolidated with four other SEPPs into the </w:t>
      </w:r>
      <w:r w:rsidR="00F13B1B">
        <w:rPr>
          <w:rFonts w:cs="Leelawadee UI Semilight"/>
        </w:rPr>
        <w:t>State Environmental Planning Policy (</w:t>
      </w:r>
      <w:r w:rsidRPr="002E6D2F">
        <w:rPr>
          <w:rFonts w:cs="Leelawadee UI Semilight"/>
        </w:rPr>
        <w:t>Precincts-Regional</w:t>
      </w:r>
      <w:r w:rsidR="00F13B1B">
        <w:rPr>
          <w:rFonts w:cs="Leelawadee UI Semilight"/>
        </w:rPr>
        <w:t>) 2021</w:t>
      </w:r>
      <w:r w:rsidRPr="002E6D2F">
        <w:rPr>
          <w:rFonts w:cs="Leelawadee UI Semilight"/>
        </w:rPr>
        <w:t>.</w:t>
      </w:r>
    </w:p>
    <w:p w14:paraId="518CA591" w14:textId="1B1FDB2E" w:rsidR="00DA61B8" w:rsidRPr="00DA61B8" w:rsidRDefault="00DA61B8" w:rsidP="00DA61B8">
      <w:pPr>
        <w:rPr>
          <w:rFonts w:cs="Leelawadee UI Semilight"/>
        </w:rPr>
      </w:pPr>
      <w:r w:rsidRPr="00DA61B8">
        <w:rPr>
          <w:rFonts w:cs="Leelawadee UI Semilight"/>
        </w:rPr>
        <w:t xml:space="preserve">The Parkes </w:t>
      </w:r>
      <w:r w:rsidR="00463597">
        <w:rPr>
          <w:rFonts w:cs="Leelawadee UI Semilight"/>
        </w:rPr>
        <w:t>Precinct</w:t>
      </w:r>
      <w:r w:rsidRPr="00DA61B8">
        <w:rPr>
          <w:rFonts w:cs="Leelawadee UI Semilight"/>
        </w:rPr>
        <w:t xml:space="preserve"> will become an inland port, transferring export ready goods to every major city and freight centre in Australia. It will provide opportunities for new industries in agriculture, freight and logistics, manufacturing, energy and resource recovery and transport to co-locate.</w:t>
      </w:r>
    </w:p>
    <w:p w14:paraId="6781DECA" w14:textId="30283340" w:rsidR="00DA61B8" w:rsidRDefault="00DA61B8" w:rsidP="00DA61B8">
      <w:pPr>
        <w:rPr>
          <w:rFonts w:cs="Leelawadee UI Semilight"/>
        </w:rPr>
      </w:pPr>
      <w:r w:rsidRPr="00DA61B8">
        <w:rPr>
          <w:rFonts w:cs="Leelawadee UI Semilight"/>
        </w:rPr>
        <w:t xml:space="preserve">The delivery of Parkes </w:t>
      </w:r>
      <w:r w:rsidR="00463597">
        <w:rPr>
          <w:rFonts w:cs="Leelawadee UI Semilight"/>
        </w:rPr>
        <w:t>Precinct</w:t>
      </w:r>
      <w:r w:rsidR="00463597" w:rsidRPr="00DA61B8" w:rsidDel="00463597">
        <w:rPr>
          <w:rFonts w:cs="Leelawadee UI Semilight"/>
        </w:rPr>
        <w:t xml:space="preserve"> </w:t>
      </w:r>
      <w:r w:rsidRPr="00DA61B8">
        <w:rPr>
          <w:rFonts w:cs="Leelawadee UI Semilight"/>
        </w:rPr>
        <w:t>is anticipated to result in a significant positive impact on the future growth in population and employment opportunities in the Parkes local government area (</w:t>
      </w:r>
      <w:r w:rsidRPr="00FC1994">
        <w:rPr>
          <w:rFonts w:cs="Leelawadee UI Semilight"/>
          <w:b/>
          <w:bCs/>
        </w:rPr>
        <w:t>LGA</w:t>
      </w:r>
      <w:r w:rsidRPr="00DA61B8">
        <w:rPr>
          <w:rFonts w:cs="Leelawadee UI Semilight"/>
        </w:rPr>
        <w:t>).</w:t>
      </w:r>
    </w:p>
    <w:p w14:paraId="3E161FE5" w14:textId="1142F94B" w:rsidR="00B6102E" w:rsidRPr="001C4FB6" w:rsidRDefault="00B6102E" w:rsidP="00DA61B8">
      <w:pPr>
        <w:rPr>
          <w:rFonts w:cs="Leelawadee UI Semilight"/>
        </w:rPr>
      </w:pPr>
      <w:r w:rsidRPr="00B6102E">
        <w:rPr>
          <w:rFonts w:cs="Leelawadee UI Semilight"/>
        </w:rPr>
        <w:t xml:space="preserve">This population and employment growth </w:t>
      </w:r>
      <w:r w:rsidR="00F84689">
        <w:rPr>
          <w:rFonts w:cs="Leelawadee UI Semilight"/>
        </w:rPr>
        <w:t xml:space="preserve">resulting from the Parkes </w:t>
      </w:r>
      <w:r w:rsidR="00463597">
        <w:rPr>
          <w:rFonts w:cs="Leelawadee UI Semilight"/>
        </w:rPr>
        <w:t>Precinct</w:t>
      </w:r>
      <w:r w:rsidR="00463597" w:rsidDel="00463597">
        <w:rPr>
          <w:rFonts w:cs="Leelawadee UI Semilight"/>
        </w:rPr>
        <w:t xml:space="preserve"> </w:t>
      </w:r>
      <w:r w:rsidRPr="00B6102E">
        <w:rPr>
          <w:rFonts w:cs="Leelawadee UI Semilight"/>
        </w:rPr>
        <w:t>will create additional demand for new and upgraded local infrastructure, including traffic and transport improvements to accommodate additional traffic movements, particularly from heavy vehicles, active transport infrastructure for resident workers accessing the precinct for employment, and water cycle management infrastructure required to appropriately treat stormwater and manage flood risks.</w:t>
      </w:r>
    </w:p>
    <w:p w14:paraId="512BE2B7" w14:textId="4A3F9061" w:rsidR="007C3854" w:rsidRDefault="007C3854" w:rsidP="007C3854">
      <w:r>
        <w:t xml:space="preserve">The Parkes </w:t>
      </w:r>
      <w:r w:rsidR="00463597">
        <w:rPr>
          <w:rFonts w:cs="Leelawadee UI Semilight"/>
        </w:rPr>
        <w:t>Precinct</w:t>
      </w:r>
      <w:r w:rsidR="00463597" w:rsidDel="00463597">
        <w:t xml:space="preserve"> </w:t>
      </w:r>
      <w:r>
        <w:t xml:space="preserve">is now in the delivery phase, led by RGDC. RGDC led the preparation of this </w:t>
      </w:r>
      <w:r w:rsidR="00463597">
        <w:t>A</w:t>
      </w:r>
      <w:r>
        <w:t>ppendi</w:t>
      </w:r>
      <w:r w:rsidR="00463597">
        <w:t>x</w:t>
      </w:r>
      <w:r>
        <w:t xml:space="preserve"> amendment, in collaboration with Council.</w:t>
      </w:r>
    </w:p>
    <w:p w14:paraId="076207D5" w14:textId="4F414FBA" w:rsidR="001C4FB6" w:rsidRPr="000D34A7" w:rsidRDefault="001C4FB6" w:rsidP="001123E0">
      <w:r w:rsidRPr="000D34A7">
        <w:t>RGDC will have primary responsibility for delivering most of the infrastructure</w:t>
      </w:r>
      <w:r w:rsidR="00F553CB">
        <w:t xml:space="preserve"> on behalf of Council</w:t>
      </w:r>
      <w:r w:rsidRPr="000D34A7">
        <w:t xml:space="preserve">. While the NSW Government has committed significant funding towards infrastructure delivery, available funding will not deliver </w:t>
      </w:r>
      <w:proofErr w:type="gramStart"/>
      <w:r w:rsidRPr="000D34A7">
        <w:t>all of</w:t>
      </w:r>
      <w:proofErr w:type="gramEnd"/>
      <w:r w:rsidRPr="000D34A7">
        <w:t xml:space="preserve"> the projected infrastructure needs. </w:t>
      </w:r>
    </w:p>
    <w:p w14:paraId="3D903081" w14:textId="31C75977" w:rsidR="002D02ED" w:rsidRDefault="001C4FB6" w:rsidP="00D17169">
      <w:r w:rsidRPr="000D34A7">
        <w:t>Th</w:t>
      </w:r>
      <w:r w:rsidR="00927DC9">
        <w:t xml:space="preserve">e Parkes Shire </w:t>
      </w:r>
      <w:r w:rsidR="00BC68BB">
        <w:t>Council Section 94A</w:t>
      </w:r>
      <w:r w:rsidRPr="000D34A7">
        <w:t xml:space="preserve"> contribution plan </w:t>
      </w:r>
      <w:r w:rsidR="00B9067C">
        <w:t xml:space="preserve">was </w:t>
      </w:r>
      <w:r w:rsidRPr="000D34A7">
        <w:t xml:space="preserve">originally </w:t>
      </w:r>
      <w:r w:rsidR="00B9067C">
        <w:t xml:space="preserve">prepared in 2016 and </w:t>
      </w:r>
      <w:r w:rsidRPr="000D34A7">
        <w:t xml:space="preserve">commenced on </w:t>
      </w:r>
      <w:r w:rsidR="00B5286C">
        <w:t>5</w:t>
      </w:r>
      <w:r w:rsidRPr="000D34A7">
        <w:t xml:space="preserve"> </w:t>
      </w:r>
      <w:r w:rsidR="00B5286C">
        <w:t>August</w:t>
      </w:r>
      <w:r w:rsidRPr="000D34A7">
        <w:t xml:space="preserve"> </w:t>
      </w:r>
      <w:r w:rsidR="00B5286C">
        <w:t>2016</w:t>
      </w:r>
      <w:r w:rsidRPr="000D34A7">
        <w:t xml:space="preserve">. </w:t>
      </w:r>
      <w:r w:rsidR="00905707">
        <w:t>When it was prepared, it did not allow for the expected development and associated infrastructure requirements resulting from the Parkes</w:t>
      </w:r>
      <w:r w:rsidR="00733805">
        <w:t>.</w:t>
      </w:r>
      <w:r w:rsidR="00602B61">
        <w:t xml:space="preserve"> This appendices amendment </w:t>
      </w:r>
      <w:r w:rsidR="00C565D8">
        <w:t xml:space="preserve">was prepared in 2023 and contains </w:t>
      </w:r>
      <w:r w:rsidR="00C565D8" w:rsidRPr="00C565D8">
        <w:t xml:space="preserve">special provisions </w:t>
      </w:r>
      <w:r w:rsidR="00D17169">
        <w:t xml:space="preserve">specifically for the Parkes </w:t>
      </w:r>
      <w:r w:rsidR="00463597">
        <w:rPr>
          <w:rFonts w:cs="Leelawadee UI Semilight"/>
        </w:rPr>
        <w:t>Precinct</w:t>
      </w:r>
      <w:r w:rsidR="00D17169">
        <w:t xml:space="preserve">. </w:t>
      </w:r>
      <w:r w:rsidR="00463597" w:rsidRPr="00C565D8">
        <w:t>Its</w:t>
      </w:r>
      <w:r w:rsidR="00C565D8" w:rsidRPr="00C565D8">
        <w:t xml:space="preserve"> purpose is to enable contributions to be imposed on development in the </w:t>
      </w:r>
      <w:r w:rsidR="00D17169">
        <w:t xml:space="preserve">Parkes </w:t>
      </w:r>
      <w:r w:rsidR="00463597">
        <w:rPr>
          <w:rFonts w:cs="Leelawadee UI Semilight"/>
        </w:rPr>
        <w:t>Precinct</w:t>
      </w:r>
      <w:r w:rsidR="00463597" w:rsidDel="00463597">
        <w:t xml:space="preserve"> </w:t>
      </w:r>
      <w:r w:rsidR="00C565D8" w:rsidRPr="00C565D8">
        <w:t xml:space="preserve">to help fund the cost of infrastructure that will be needed to support </w:t>
      </w:r>
      <w:r w:rsidR="002D02ED">
        <w:t xml:space="preserve">development in the </w:t>
      </w:r>
      <w:r w:rsidR="00463597">
        <w:rPr>
          <w:rFonts w:cs="Leelawadee UI Semilight"/>
        </w:rPr>
        <w:t>Precinct</w:t>
      </w:r>
      <w:r w:rsidR="002D02ED">
        <w:t>.</w:t>
      </w:r>
    </w:p>
    <w:p w14:paraId="324D9DA4" w14:textId="74E9B180" w:rsidR="00713BC7" w:rsidRDefault="006038BC" w:rsidP="00057D77">
      <w:pPr>
        <w:pStyle w:val="AppendixSubHeading"/>
      </w:pPr>
      <w:bookmarkStart w:id="1" w:name="_Ref146103070"/>
      <w:r>
        <w:lastRenderedPageBreak/>
        <w:t>Role of Regional Growth NSW Development Corporation</w:t>
      </w:r>
      <w:bookmarkEnd w:id="1"/>
    </w:p>
    <w:p w14:paraId="245BF606" w14:textId="5D7C5DA6" w:rsidR="00F21474" w:rsidRPr="00E847D2" w:rsidRDefault="00F21474" w:rsidP="00F21474">
      <w:r w:rsidRPr="002866AA">
        <w:rPr>
          <w:rFonts w:asciiTheme="majorHAnsi" w:hAnsiTheme="majorHAnsi"/>
          <w:color w:val="000000" w:themeColor="text1"/>
        </w:rPr>
        <w:t>RGDC</w:t>
      </w:r>
      <w:r w:rsidRPr="00E847D2">
        <w:t xml:space="preserve"> is the lead NSW Government agency with responsibility for delivering the NSW Special Activation Precincts, including </w:t>
      </w:r>
      <w:r>
        <w:t>Parkes</w:t>
      </w:r>
      <w:r w:rsidRPr="00E847D2">
        <w:t>.</w:t>
      </w:r>
    </w:p>
    <w:p w14:paraId="76FA15D9" w14:textId="7136BB02" w:rsidR="00F21474" w:rsidRPr="00E847D2" w:rsidRDefault="00F21474" w:rsidP="00F21474">
      <w:r w:rsidRPr="00E847D2">
        <w:t xml:space="preserve">The NSW Government has introduced </w:t>
      </w:r>
      <w:r w:rsidR="00463597">
        <w:t xml:space="preserve">Special Activation Precincts </w:t>
      </w:r>
      <w:r w:rsidRPr="00E847D2">
        <w:t xml:space="preserve">as a new way of planning and delivering infrastructure projects in certain regional locations in NSW, to attract and grow businesses, stimulate the local economy and provide more local employment opportunities. </w:t>
      </w:r>
    </w:p>
    <w:p w14:paraId="6D5D35A7" w14:textId="7B304A23" w:rsidR="003C73CE" w:rsidRDefault="003C73CE" w:rsidP="00F21474">
      <w:r>
        <w:rPr>
          <w:rFonts w:cs="Arial"/>
        </w:rPr>
        <w:t xml:space="preserve">However, to enable these benefits to be fully unlocked, </w:t>
      </w:r>
      <w:r w:rsidR="00F13B1B">
        <w:rPr>
          <w:rFonts w:cs="Arial"/>
        </w:rPr>
        <w:t>c</w:t>
      </w:r>
      <w:r>
        <w:rPr>
          <w:rFonts w:cs="Arial"/>
        </w:rPr>
        <w:t>ouncil</w:t>
      </w:r>
      <w:r w:rsidR="002A7D08">
        <w:rPr>
          <w:rFonts w:cs="Arial"/>
        </w:rPr>
        <w:t>s</w:t>
      </w:r>
      <w:r>
        <w:rPr>
          <w:rFonts w:cs="Arial"/>
        </w:rPr>
        <w:t xml:space="preserve"> must establish an infrastructure contribution framework for </w:t>
      </w:r>
      <w:r w:rsidR="00C878E8">
        <w:rPr>
          <w:rFonts w:cs="Arial"/>
        </w:rPr>
        <w:t xml:space="preserve">the delivery of the infrastructure </w:t>
      </w:r>
      <w:r w:rsidR="00F553CB">
        <w:rPr>
          <w:rFonts w:cs="Arial"/>
        </w:rPr>
        <w:t xml:space="preserve">required </w:t>
      </w:r>
      <w:r w:rsidR="00F13B1B">
        <w:rPr>
          <w:rFonts w:cs="Arial"/>
        </w:rPr>
        <w:t xml:space="preserve">by the relevant </w:t>
      </w:r>
      <w:proofErr w:type="gramStart"/>
      <w:r w:rsidR="00F13B1B">
        <w:rPr>
          <w:rFonts w:cs="Arial"/>
        </w:rPr>
        <w:t xml:space="preserve">council, </w:t>
      </w:r>
      <w:r>
        <w:rPr>
          <w:rFonts w:cs="Arial"/>
        </w:rPr>
        <w:t>and</w:t>
      </w:r>
      <w:proofErr w:type="gramEnd"/>
      <w:r>
        <w:rPr>
          <w:rFonts w:cs="Arial"/>
        </w:rPr>
        <w:t xml:space="preserve"> engag</w:t>
      </w:r>
      <w:r w:rsidR="00F553CB">
        <w:rPr>
          <w:rFonts w:cs="Arial"/>
        </w:rPr>
        <w:t>e</w:t>
      </w:r>
      <w:r>
        <w:rPr>
          <w:rFonts w:cs="Arial"/>
        </w:rPr>
        <w:t xml:space="preserve"> a third party (i.e. RGDC) to deliver the infrastructure in an accelerated timeframe on </w:t>
      </w:r>
      <w:r w:rsidR="00F13B1B">
        <w:rPr>
          <w:rFonts w:cs="Arial"/>
        </w:rPr>
        <w:t>the council’s behalf</w:t>
      </w:r>
      <w:r>
        <w:rPr>
          <w:rFonts w:cs="Arial"/>
        </w:rPr>
        <w:t>.</w:t>
      </w:r>
    </w:p>
    <w:p w14:paraId="73252595" w14:textId="48735D80" w:rsidR="00F21474" w:rsidRPr="00E847D2" w:rsidRDefault="00F13B1B" w:rsidP="00F21474">
      <w:r>
        <w:t>T</w:t>
      </w:r>
      <w:r w:rsidR="00F553CB">
        <w:t xml:space="preserve">he </w:t>
      </w:r>
      <w:r>
        <w:t xml:space="preserve">delivery of the </w:t>
      </w:r>
      <w:r w:rsidR="00F553CB">
        <w:t xml:space="preserve">infrastructure </w:t>
      </w:r>
      <w:r>
        <w:t xml:space="preserve">within the Parkes Precinct </w:t>
      </w:r>
      <w:r w:rsidR="00F553CB">
        <w:t xml:space="preserve">is </w:t>
      </w:r>
      <w:r w:rsidR="00F21474" w:rsidRPr="00E847D2">
        <w:t xml:space="preserve">being </w:t>
      </w:r>
      <w:r w:rsidR="00F553CB">
        <w:t xml:space="preserve">partially </w:t>
      </w:r>
      <w:r>
        <w:t xml:space="preserve">funded </w:t>
      </w:r>
      <w:r w:rsidR="00F21474" w:rsidRPr="00E847D2">
        <w:t>by the NSW Government as part of the $4.2 billion Snowy Hydro Legacy Fund</w:t>
      </w:r>
      <w:r w:rsidR="003C73CE">
        <w:t xml:space="preserve">, </w:t>
      </w:r>
      <w:r>
        <w:t xml:space="preserve">but </w:t>
      </w:r>
      <w:r w:rsidR="00F553CB">
        <w:t>this funding</w:t>
      </w:r>
      <w:r w:rsidR="00F04422">
        <w:t xml:space="preserve"> is </w:t>
      </w:r>
      <w:r w:rsidR="003C73CE">
        <w:t xml:space="preserve">not sufficient to deliver all the infrastructure </w:t>
      </w:r>
      <w:r w:rsidR="002A7D08">
        <w:t xml:space="preserve">required. </w:t>
      </w:r>
      <w:r w:rsidR="00F553CB">
        <w:t xml:space="preserve">That </w:t>
      </w:r>
      <w:r w:rsidR="002A7D08">
        <w:t xml:space="preserve">gap will be funded by </w:t>
      </w:r>
      <w:r>
        <w:t xml:space="preserve">Council, through the </w:t>
      </w:r>
      <w:r w:rsidR="002A7D08">
        <w:t xml:space="preserve">contributions levied under this </w:t>
      </w:r>
      <w:proofErr w:type="gramStart"/>
      <w:r w:rsidR="002A7D08">
        <w:t xml:space="preserve">Appendix.  </w:t>
      </w:r>
      <w:r w:rsidR="00F21474" w:rsidRPr="00E847D2">
        <w:t>.</w:t>
      </w:r>
      <w:proofErr w:type="gramEnd"/>
    </w:p>
    <w:p w14:paraId="5D9463FC" w14:textId="3D1088C3" w:rsidR="00F21474" w:rsidRDefault="00F21474" w:rsidP="003C73CE">
      <w:pPr>
        <w:pStyle w:val="BodyText"/>
        <w:rPr>
          <w:color w:val="auto"/>
        </w:rPr>
      </w:pPr>
      <w:r>
        <w:rPr>
          <w:color w:val="auto"/>
        </w:rPr>
        <w:t xml:space="preserve">The infrastructure works to be partly funded by </w:t>
      </w:r>
      <w:r w:rsidR="00F13B1B">
        <w:rPr>
          <w:color w:val="auto"/>
        </w:rPr>
        <w:t xml:space="preserve">Council through </w:t>
      </w:r>
      <w:r>
        <w:rPr>
          <w:color w:val="auto"/>
        </w:rPr>
        <w:t xml:space="preserve">contributions levied under this </w:t>
      </w:r>
      <w:r w:rsidR="00173ECB">
        <w:rPr>
          <w:color w:val="auto"/>
        </w:rPr>
        <w:t>A</w:t>
      </w:r>
      <w:r>
        <w:rPr>
          <w:color w:val="auto"/>
        </w:rPr>
        <w:t xml:space="preserve">ppendix </w:t>
      </w:r>
      <w:r w:rsidRPr="003F1C24">
        <w:rPr>
          <w:color w:val="auto"/>
        </w:rPr>
        <w:t xml:space="preserve">comprise road-related works, </w:t>
      </w:r>
      <w:r w:rsidR="00F830F9">
        <w:rPr>
          <w:color w:val="auto"/>
        </w:rPr>
        <w:t xml:space="preserve">rail crossings, </w:t>
      </w:r>
      <w:r w:rsidRPr="003F1C24">
        <w:rPr>
          <w:color w:val="auto"/>
        </w:rPr>
        <w:t xml:space="preserve">drainage works, </w:t>
      </w:r>
      <w:r>
        <w:rPr>
          <w:color w:val="auto"/>
        </w:rPr>
        <w:t xml:space="preserve">and </w:t>
      </w:r>
      <w:r w:rsidRPr="003F1C24">
        <w:rPr>
          <w:color w:val="auto"/>
        </w:rPr>
        <w:t>utilities works</w:t>
      </w:r>
      <w:r>
        <w:rPr>
          <w:color w:val="auto"/>
        </w:rPr>
        <w:t>.</w:t>
      </w:r>
      <w:r w:rsidR="0041409C">
        <w:rPr>
          <w:color w:val="auto"/>
        </w:rPr>
        <w:t xml:space="preserve"> RDGC will be responsible for </w:t>
      </w:r>
      <w:r w:rsidR="00781965">
        <w:rPr>
          <w:color w:val="auto"/>
        </w:rPr>
        <w:t xml:space="preserve">the delivery </w:t>
      </w:r>
      <w:r w:rsidR="00623138">
        <w:rPr>
          <w:color w:val="auto"/>
        </w:rPr>
        <w:t xml:space="preserve">and transfer </w:t>
      </w:r>
      <w:r w:rsidR="001137CE">
        <w:rPr>
          <w:color w:val="auto"/>
        </w:rPr>
        <w:t xml:space="preserve">of these works to Council once </w:t>
      </w:r>
      <w:r w:rsidR="00B45478">
        <w:rPr>
          <w:color w:val="auto"/>
        </w:rPr>
        <w:t>complete.</w:t>
      </w:r>
      <w:r>
        <w:rPr>
          <w:color w:val="auto"/>
        </w:rPr>
        <w:t xml:space="preserve"> A portion of the contributions levied on development in the </w:t>
      </w:r>
      <w:r w:rsidR="0083113D">
        <w:rPr>
          <w:color w:val="auto"/>
        </w:rPr>
        <w:t>Parkes</w:t>
      </w:r>
      <w:r>
        <w:rPr>
          <w:color w:val="auto"/>
        </w:rPr>
        <w:t xml:space="preserve"> </w:t>
      </w:r>
      <w:r w:rsidR="00463597">
        <w:rPr>
          <w:rFonts w:cs="Leelawadee UI Semilight"/>
        </w:rPr>
        <w:t>Precinct</w:t>
      </w:r>
      <w:r>
        <w:rPr>
          <w:color w:val="auto"/>
        </w:rPr>
        <w:t xml:space="preserve"> will </w:t>
      </w:r>
      <w:r w:rsidR="005B0FAB">
        <w:rPr>
          <w:color w:val="auto"/>
        </w:rPr>
        <w:t xml:space="preserve">also </w:t>
      </w:r>
      <w:r>
        <w:rPr>
          <w:color w:val="auto"/>
        </w:rPr>
        <w:t xml:space="preserve">be used by Council to help fund the delivery of local infrastructure to be delivered by Council as set out in the LGA-wide works </w:t>
      </w:r>
      <w:r w:rsidRPr="00975EF2">
        <w:rPr>
          <w:color w:val="auto"/>
        </w:rPr>
        <w:t xml:space="preserve">schedule in </w:t>
      </w:r>
      <w:r w:rsidRPr="00975EF2">
        <w:rPr>
          <w:rStyle w:val="BoldCharacter"/>
        </w:rPr>
        <w:t xml:space="preserve">Appendix </w:t>
      </w:r>
      <w:r w:rsidR="00975EF2" w:rsidRPr="00975EF2">
        <w:rPr>
          <w:rStyle w:val="BoldCharacter"/>
        </w:rPr>
        <w:t>1</w:t>
      </w:r>
      <w:r>
        <w:rPr>
          <w:color w:val="auto"/>
        </w:rPr>
        <w:t xml:space="preserve"> of this plan. </w:t>
      </w:r>
      <w:r w:rsidR="00294825">
        <w:rPr>
          <w:color w:val="auto"/>
        </w:rPr>
        <w:t>C</w:t>
      </w:r>
      <w:r w:rsidR="001C2666">
        <w:rPr>
          <w:color w:val="auto"/>
        </w:rPr>
        <w:t xml:space="preserve">ontributions </w:t>
      </w:r>
      <w:r w:rsidR="00760AA7">
        <w:rPr>
          <w:color w:val="auto"/>
        </w:rPr>
        <w:t xml:space="preserve">received by Council </w:t>
      </w:r>
      <w:r w:rsidR="00B9374B">
        <w:rPr>
          <w:color w:val="auto"/>
        </w:rPr>
        <w:t xml:space="preserve">under this Appendix </w:t>
      </w:r>
      <w:r w:rsidR="00760AA7">
        <w:rPr>
          <w:color w:val="auto"/>
        </w:rPr>
        <w:t xml:space="preserve">and </w:t>
      </w:r>
      <w:r w:rsidR="002D1A0A">
        <w:rPr>
          <w:color w:val="auto"/>
        </w:rPr>
        <w:t>put toward the delivery of local infrastructure</w:t>
      </w:r>
      <w:r w:rsidR="00AD1DE0">
        <w:rPr>
          <w:color w:val="auto"/>
        </w:rPr>
        <w:t xml:space="preserve"> represents the </w:t>
      </w:r>
      <w:r w:rsidR="001878F4">
        <w:rPr>
          <w:color w:val="auto"/>
        </w:rPr>
        <w:t>contribution amount</w:t>
      </w:r>
      <w:r w:rsidR="00AD1DE0">
        <w:rPr>
          <w:color w:val="auto"/>
        </w:rPr>
        <w:t xml:space="preserve"> </w:t>
      </w:r>
      <w:r w:rsidR="002D0E6E">
        <w:rPr>
          <w:color w:val="auto"/>
        </w:rPr>
        <w:t>Council would ordinarily receive</w:t>
      </w:r>
      <w:r w:rsidR="009169FF">
        <w:rPr>
          <w:color w:val="auto"/>
        </w:rPr>
        <w:t xml:space="preserve"> calculated in accordance</w:t>
      </w:r>
      <w:r w:rsidR="002D0E6E">
        <w:rPr>
          <w:color w:val="auto"/>
        </w:rPr>
        <w:t xml:space="preserve"> </w:t>
      </w:r>
      <w:r w:rsidR="009169FF">
        <w:rPr>
          <w:color w:val="auto"/>
        </w:rPr>
        <w:t>with</w:t>
      </w:r>
      <w:r w:rsidR="002D0E6E">
        <w:rPr>
          <w:color w:val="auto"/>
        </w:rPr>
        <w:t xml:space="preserve"> section </w:t>
      </w:r>
      <w:r w:rsidR="00CD7DE5">
        <w:rPr>
          <w:color w:val="auto"/>
        </w:rPr>
        <w:t>3.3</w:t>
      </w:r>
      <w:r w:rsidR="00697A0E">
        <w:rPr>
          <w:color w:val="auto"/>
        </w:rPr>
        <w:t xml:space="preserve"> of this plan. </w:t>
      </w:r>
      <w:r w:rsidR="002638F9">
        <w:rPr>
          <w:color w:val="auto"/>
        </w:rPr>
        <w:t xml:space="preserve"> </w:t>
      </w:r>
      <w:r w:rsidR="003C078D">
        <w:rPr>
          <w:color w:val="auto"/>
        </w:rPr>
        <w:t xml:space="preserve"> </w:t>
      </w:r>
    </w:p>
    <w:p w14:paraId="20CCB415" w14:textId="2A0793A1" w:rsidR="00F21474" w:rsidRDefault="00F21474" w:rsidP="00F21474">
      <w:r w:rsidRPr="00645FDD">
        <w:t xml:space="preserve">RGDC led the preparation of this </w:t>
      </w:r>
      <w:r w:rsidR="00EE7BDE">
        <w:t>Appendix</w:t>
      </w:r>
      <w:r w:rsidRPr="00645FDD">
        <w:t>, in collaboration with Council.</w:t>
      </w:r>
      <w:r w:rsidRPr="00E847D2">
        <w:t xml:space="preserve"> </w:t>
      </w:r>
    </w:p>
    <w:p w14:paraId="1EE6E714" w14:textId="71C3161A" w:rsidR="001C4FB6" w:rsidRPr="009E5D34" w:rsidRDefault="001C4FB6" w:rsidP="00F206CF">
      <w:pPr>
        <w:pStyle w:val="AppendixSubHeading"/>
      </w:pPr>
      <w:bookmarkStart w:id="2" w:name="_Ref146103078"/>
      <w:r w:rsidRPr="009E5D34">
        <w:lastRenderedPageBreak/>
        <w:t xml:space="preserve">Relationship </w:t>
      </w:r>
      <w:r w:rsidR="00EF5A68" w:rsidRPr="009E5D34">
        <w:t xml:space="preserve">of this </w:t>
      </w:r>
      <w:r w:rsidR="00173ECB">
        <w:t>A</w:t>
      </w:r>
      <w:r w:rsidR="00EF5A68" w:rsidRPr="009E5D34">
        <w:t xml:space="preserve">ppendix </w:t>
      </w:r>
      <w:r w:rsidRPr="009E5D34">
        <w:t>to other parts of this Plan</w:t>
      </w:r>
      <w:bookmarkEnd w:id="2"/>
    </w:p>
    <w:p w14:paraId="11549A7A" w14:textId="77777777" w:rsidR="00B21D34" w:rsidRPr="00FC1994" w:rsidRDefault="00DA6A9B" w:rsidP="000D6E3C">
      <w:pPr>
        <w:keepNext/>
        <w:keepLines/>
        <w:rPr>
          <w:rFonts w:cs="Leelawadee UI Semilight"/>
        </w:rPr>
      </w:pPr>
      <w:r w:rsidRPr="00FC1994">
        <w:rPr>
          <w:rFonts w:cs="Leelawadee UI Semilight"/>
        </w:rPr>
        <w:t xml:space="preserve">Provisions in this </w:t>
      </w:r>
      <w:r w:rsidR="00173ECB" w:rsidRPr="00FC1994">
        <w:rPr>
          <w:rFonts w:cs="Leelawadee UI Semilight"/>
        </w:rPr>
        <w:t>A</w:t>
      </w:r>
      <w:r w:rsidRPr="00FC1994">
        <w:rPr>
          <w:rFonts w:cs="Leelawadee UI Semilight"/>
        </w:rPr>
        <w:t xml:space="preserve">ppendix prevail over all other </w:t>
      </w:r>
      <w:r w:rsidR="004B6767" w:rsidRPr="00FC1994">
        <w:rPr>
          <w:rFonts w:cs="Leelawadee UI Semilight"/>
        </w:rPr>
        <w:t>parts</w:t>
      </w:r>
      <w:r w:rsidRPr="00FC1994">
        <w:rPr>
          <w:rFonts w:cs="Leelawadee UI Semilight"/>
        </w:rPr>
        <w:t xml:space="preserve"> </w:t>
      </w:r>
      <w:r w:rsidR="004B6767" w:rsidRPr="00FC1994">
        <w:rPr>
          <w:rFonts w:cs="Leelawadee UI Semilight"/>
        </w:rPr>
        <w:t xml:space="preserve">of </w:t>
      </w:r>
      <w:r w:rsidR="00EE6797" w:rsidRPr="00FC1994">
        <w:rPr>
          <w:rFonts w:cs="Leelawadee UI Semilight"/>
        </w:rPr>
        <w:t>this plan, to the extent of any inconsistency.</w:t>
      </w:r>
      <w:r w:rsidR="00662ADB" w:rsidRPr="00FC1994">
        <w:rPr>
          <w:rFonts w:cs="Leelawadee UI Semilight"/>
        </w:rPr>
        <w:t xml:space="preserve"> </w:t>
      </w:r>
    </w:p>
    <w:p w14:paraId="58D2E87B" w14:textId="0CD6C042" w:rsidR="00175123" w:rsidRPr="00FC1994" w:rsidRDefault="002E79B7" w:rsidP="00D85C4D">
      <w:pPr>
        <w:keepNext/>
        <w:keepLines/>
        <w:rPr>
          <w:rFonts w:cs="Leelawadee UI Semilight"/>
        </w:rPr>
      </w:pPr>
      <w:r w:rsidRPr="00FC1994">
        <w:rPr>
          <w:rFonts w:cs="Leelawadee UI Semilight"/>
        </w:rPr>
        <w:t>D</w:t>
      </w:r>
      <w:r w:rsidR="00662ADB" w:rsidRPr="00FC1994">
        <w:rPr>
          <w:rFonts w:cs="Leelawadee UI Semilight"/>
        </w:rPr>
        <w:t>evelopment</w:t>
      </w:r>
      <w:r w:rsidR="00676D49" w:rsidRPr="00FC1994">
        <w:rPr>
          <w:rFonts w:cs="Leelawadee UI Semilight"/>
        </w:rPr>
        <w:t xml:space="preserve"> </w:t>
      </w:r>
      <w:r w:rsidR="004F5236">
        <w:rPr>
          <w:rFonts w:cs="Leelawadee UI Semilight"/>
        </w:rPr>
        <w:t xml:space="preserve">that is </w:t>
      </w:r>
      <w:r w:rsidR="0006745C" w:rsidRPr="00FC1994">
        <w:rPr>
          <w:rFonts w:cs="Leelawadee UI Semilight"/>
        </w:rPr>
        <w:t xml:space="preserve">subject to </w:t>
      </w:r>
      <w:r w:rsidR="005526D3" w:rsidRPr="00FC1994">
        <w:rPr>
          <w:rFonts w:cs="Leelawadee UI Semilight"/>
        </w:rPr>
        <w:t xml:space="preserve">a s7.12 contribution under this </w:t>
      </w:r>
      <w:r w:rsidR="00416EB4" w:rsidRPr="00FC1994">
        <w:rPr>
          <w:rFonts w:cs="Leelawadee UI Semilight"/>
        </w:rPr>
        <w:t>A</w:t>
      </w:r>
      <w:r w:rsidR="005526D3" w:rsidRPr="00FC1994">
        <w:rPr>
          <w:rFonts w:cs="Leelawadee UI Semilight"/>
        </w:rPr>
        <w:t>ppendix</w:t>
      </w:r>
      <w:r w:rsidRPr="00FC1994">
        <w:rPr>
          <w:rFonts w:cs="Leelawadee UI Semilight"/>
        </w:rPr>
        <w:t xml:space="preserve"> will not be required to pay </w:t>
      </w:r>
      <w:r w:rsidR="001007E4" w:rsidRPr="00FC1994">
        <w:rPr>
          <w:rFonts w:cs="Leelawadee UI Semilight"/>
        </w:rPr>
        <w:t xml:space="preserve">a </w:t>
      </w:r>
      <w:r w:rsidRPr="00FC1994">
        <w:rPr>
          <w:rFonts w:cs="Leelawadee UI Semilight"/>
        </w:rPr>
        <w:t>further contribution under</w:t>
      </w:r>
      <w:r w:rsidR="00315D5B" w:rsidRPr="00FC1994">
        <w:rPr>
          <w:rFonts w:cs="Leelawadee UI Semilight"/>
        </w:rPr>
        <w:t xml:space="preserve"> any other </w:t>
      </w:r>
      <w:r w:rsidR="00416EB4" w:rsidRPr="00FC1994">
        <w:rPr>
          <w:rFonts w:cs="Leelawadee UI Semilight"/>
        </w:rPr>
        <w:t xml:space="preserve">part of this </w:t>
      </w:r>
      <w:r w:rsidR="00FD6A5C" w:rsidRPr="00FC1994">
        <w:rPr>
          <w:rFonts w:cs="Leelawadee UI Semilight"/>
        </w:rPr>
        <w:t>p</w:t>
      </w:r>
      <w:r w:rsidR="00416EB4" w:rsidRPr="00FC1994">
        <w:rPr>
          <w:rFonts w:cs="Leelawadee UI Semilight"/>
        </w:rPr>
        <w:t>lan.</w:t>
      </w:r>
      <w:r w:rsidR="002A7D08" w:rsidRPr="00FC1994">
        <w:rPr>
          <w:rFonts w:cs="Leelawadee UI Semilight"/>
        </w:rPr>
        <w:t xml:space="preserve"> </w:t>
      </w:r>
    </w:p>
    <w:p w14:paraId="3B0FFBAB" w14:textId="7384217C" w:rsidR="00D85C4D" w:rsidRPr="00175123" w:rsidRDefault="004F5236" w:rsidP="00D85C4D">
      <w:pPr>
        <w:keepNext/>
        <w:keepLines/>
        <w:rPr>
          <w:rFonts w:cs="Leelawadee UI Semilight"/>
        </w:rPr>
      </w:pPr>
      <w:r w:rsidRPr="00FC1994">
        <w:rPr>
          <w:rFonts w:cs="Leelawadee UI Semilight"/>
        </w:rPr>
        <w:t xml:space="preserve">However, nothing in this Appendix or plan </w:t>
      </w:r>
      <w:r w:rsidR="00EE10AA" w:rsidRPr="00FC1994">
        <w:rPr>
          <w:rFonts w:cs="Leelawadee UI Semilight"/>
        </w:rPr>
        <w:t>preclude</w:t>
      </w:r>
      <w:r w:rsidRPr="00FC1994">
        <w:rPr>
          <w:rFonts w:cs="Leelawadee UI Semilight"/>
        </w:rPr>
        <w:t>s</w:t>
      </w:r>
      <w:r w:rsidR="00EE10AA" w:rsidRPr="00FC1994">
        <w:rPr>
          <w:rFonts w:cs="Leelawadee UI Semilight"/>
        </w:rPr>
        <w:t xml:space="preserve"> Council </w:t>
      </w:r>
      <w:r w:rsidR="00F04422" w:rsidRPr="00FC1994">
        <w:rPr>
          <w:rFonts w:cs="Leelawadee UI Semilight"/>
        </w:rPr>
        <w:t>from entering into a Planning Agreement with a</w:t>
      </w:r>
      <w:r w:rsidRPr="00FC1994">
        <w:rPr>
          <w:rFonts w:cs="Leelawadee UI Semilight"/>
        </w:rPr>
        <w:t xml:space="preserve"> developer,</w:t>
      </w:r>
      <w:r w:rsidR="00F04422" w:rsidRPr="00FC1994">
        <w:rPr>
          <w:rFonts w:cs="Leelawadee UI Semilight"/>
        </w:rPr>
        <w:t xml:space="preserve"> </w:t>
      </w:r>
      <w:r w:rsidRPr="00FC1994">
        <w:rPr>
          <w:rFonts w:cs="Leelawadee UI Semilight"/>
        </w:rPr>
        <w:t xml:space="preserve">under </w:t>
      </w:r>
      <w:r w:rsidR="000442D2" w:rsidRPr="00FC1994">
        <w:rPr>
          <w:rFonts w:cs="Leelawadee UI Semilight"/>
        </w:rPr>
        <w:t xml:space="preserve">which </w:t>
      </w:r>
      <w:r w:rsidRPr="00FC1994">
        <w:rPr>
          <w:rFonts w:cs="Leelawadee UI Semilight"/>
        </w:rPr>
        <w:t xml:space="preserve">the developer agrees to provide material public benefits that are </w:t>
      </w:r>
      <w:r w:rsidR="00F04422" w:rsidRPr="00FC1994">
        <w:rPr>
          <w:rFonts w:cs="Leelawadee UI Semilight"/>
        </w:rPr>
        <w:t xml:space="preserve">in </w:t>
      </w:r>
      <w:r w:rsidR="0055796D" w:rsidRPr="00FC1994">
        <w:rPr>
          <w:rFonts w:cs="Leelawadee UI Semilight"/>
        </w:rPr>
        <w:t>addition to, or in instead of</w:t>
      </w:r>
      <w:r w:rsidRPr="00FC1994">
        <w:rPr>
          <w:rFonts w:cs="Leelawadee UI Semilight"/>
        </w:rPr>
        <w:t>,</w:t>
      </w:r>
      <w:r w:rsidR="0055796D" w:rsidRPr="00FC1994">
        <w:rPr>
          <w:rFonts w:cs="Leelawadee UI Semilight"/>
        </w:rPr>
        <w:t xml:space="preserve"> </w:t>
      </w:r>
      <w:r w:rsidR="000442D2" w:rsidRPr="00FC1994">
        <w:rPr>
          <w:rFonts w:cs="Leelawadee UI Semilight"/>
        </w:rPr>
        <w:t xml:space="preserve">contributions under </w:t>
      </w:r>
      <w:r w:rsidRPr="00FC1994">
        <w:rPr>
          <w:rFonts w:cs="Leelawadee UI Semilight"/>
        </w:rPr>
        <w:t>s </w:t>
      </w:r>
      <w:r w:rsidR="000442D2" w:rsidRPr="00FC1994">
        <w:rPr>
          <w:rFonts w:cs="Leelawadee UI Semilight"/>
        </w:rPr>
        <w:t>7.12 of the Act</w:t>
      </w:r>
      <w:r w:rsidR="00F04422" w:rsidRPr="00FC1994">
        <w:rPr>
          <w:rFonts w:cs="Leelawadee UI Semilight"/>
        </w:rPr>
        <w:t xml:space="preserve"> (refer to section 3.7.2 of this Plan).</w:t>
      </w:r>
    </w:p>
    <w:p w14:paraId="5E34F5D9" w14:textId="4CDE7959" w:rsidR="001779E7" w:rsidRPr="006844FB" w:rsidRDefault="006844FB" w:rsidP="006844FB">
      <w:pPr>
        <w:pStyle w:val="AppendixSubHeading"/>
      </w:pPr>
      <w:r w:rsidRPr="006844FB">
        <w:t xml:space="preserve">Relationship </w:t>
      </w:r>
      <w:r w:rsidR="0002579A">
        <w:t xml:space="preserve">of this Appendix </w:t>
      </w:r>
      <w:r w:rsidRPr="006844FB">
        <w:t>to other Plans and Policies</w:t>
      </w:r>
    </w:p>
    <w:p w14:paraId="2B86858C" w14:textId="0181B078" w:rsidR="005A331F" w:rsidRDefault="00177284" w:rsidP="00922A98">
      <w:pPr>
        <w:keepNext/>
        <w:keepLines/>
        <w:rPr>
          <w:rFonts w:cs="Leelawadee UI Semilight"/>
        </w:rPr>
      </w:pPr>
      <w:r>
        <w:rPr>
          <w:rFonts w:cs="Leelawadee UI Semilight"/>
        </w:rPr>
        <w:t xml:space="preserve">Development </w:t>
      </w:r>
      <w:r w:rsidR="0047226E">
        <w:rPr>
          <w:rFonts w:cs="Leelawadee UI Semilight"/>
        </w:rPr>
        <w:t xml:space="preserve">on land </w:t>
      </w:r>
      <w:r>
        <w:rPr>
          <w:rFonts w:cs="Leelawadee UI Semilight"/>
        </w:rPr>
        <w:t xml:space="preserve">to which this Appendix applies will not be </w:t>
      </w:r>
      <w:r w:rsidR="00AA1B50">
        <w:rPr>
          <w:rFonts w:cs="Leelawadee UI Semilight"/>
        </w:rPr>
        <w:t xml:space="preserve">levied </w:t>
      </w:r>
      <w:r w:rsidR="00D73C43">
        <w:rPr>
          <w:rFonts w:cs="Leelawadee UI Semilight"/>
        </w:rPr>
        <w:t>contribution</w:t>
      </w:r>
      <w:r w:rsidR="00AA1B50">
        <w:rPr>
          <w:rFonts w:cs="Leelawadee UI Semilight"/>
        </w:rPr>
        <w:t>s</w:t>
      </w:r>
      <w:r w:rsidR="00D73C43">
        <w:rPr>
          <w:rFonts w:cs="Leelawadee UI Semilight"/>
        </w:rPr>
        <w:t xml:space="preserve"> under </w:t>
      </w:r>
      <w:r w:rsidR="00922A98" w:rsidRPr="00922A98">
        <w:rPr>
          <w:rFonts w:cs="Leelawadee UI Semilight"/>
        </w:rPr>
        <w:t>the Parkes Shire Section 94 Contributions Plan 2016</w:t>
      </w:r>
      <w:r w:rsidR="00922A98">
        <w:rPr>
          <w:rFonts w:cs="Leelawadee UI Semilight"/>
        </w:rPr>
        <w:t xml:space="preserve">. </w:t>
      </w:r>
    </w:p>
    <w:p w14:paraId="453A8430" w14:textId="35B6E8CB" w:rsidR="001C4FB6" w:rsidRPr="001C4FB6" w:rsidRDefault="001C4FB6" w:rsidP="00057D77">
      <w:pPr>
        <w:pStyle w:val="AppendixSubHeading"/>
        <w:rPr>
          <w:rFonts w:cs="Leelawadee UI Semilight"/>
        </w:rPr>
      </w:pPr>
      <w:bookmarkStart w:id="3" w:name="_Ref146103084"/>
      <w:r w:rsidRPr="001C4FB6">
        <w:t xml:space="preserve">Land to which this </w:t>
      </w:r>
      <w:r w:rsidR="00173ECB">
        <w:t>A</w:t>
      </w:r>
      <w:r w:rsidRPr="001C4FB6">
        <w:t>ppendix applies</w:t>
      </w:r>
      <w:bookmarkEnd w:id="3"/>
    </w:p>
    <w:p w14:paraId="5F34D37F" w14:textId="0E4DE786" w:rsidR="001440C0" w:rsidRDefault="001C4FB6" w:rsidP="000D6E3C">
      <w:pPr>
        <w:rPr>
          <w:rFonts w:cs="Leelawadee UI Semilight"/>
        </w:rPr>
      </w:pPr>
      <w:r w:rsidRPr="001C4FB6">
        <w:rPr>
          <w:rFonts w:cs="Leelawadee UI Semilight"/>
        </w:rPr>
        <w:t xml:space="preserve">This </w:t>
      </w:r>
      <w:r w:rsidR="00173ECB">
        <w:rPr>
          <w:rFonts w:cs="Leelawadee UI Semilight"/>
        </w:rPr>
        <w:t>A</w:t>
      </w:r>
      <w:r w:rsidRPr="001C4FB6">
        <w:rPr>
          <w:rFonts w:cs="Leelawadee UI Semilight"/>
        </w:rPr>
        <w:t xml:space="preserve">ppendix applies to </w:t>
      </w:r>
      <w:r w:rsidR="00245BBE">
        <w:rPr>
          <w:rFonts w:cs="Leelawadee UI Semilight"/>
        </w:rPr>
        <w:t xml:space="preserve">land within the Parkes </w:t>
      </w:r>
      <w:r w:rsidR="00A86BCC">
        <w:rPr>
          <w:rFonts w:cs="Leelawadee UI Semilight"/>
        </w:rPr>
        <w:t>Precinct</w:t>
      </w:r>
      <w:r w:rsidRPr="001C4FB6">
        <w:rPr>
          <w:rFonts w:cs="Leelawadee UI Semilight"/>
        </w:rPr>
        <w:t xml:space="preserve"> as shown in </w:t>
      </w:r>
      <w:r w:rsidR="00CA24FE" w:rsidRPr="00057D77">
        <w:rPr>
          <w:rStyle w:val="BoldCharacter"/>
        </w:rPr>
        <w:fldChar w:fldCharType="begin"/>
      </w:r>
      <w:r w:rsidR="00CA24FE" w:rsidRPr="00057D77">
        <w:rPr>
          <w:rStyle w:val="BoldCharacter"/>
        </w:rPr>
        <w:instrText xml:space="preserve"> REF _Ref146097016 \h </w:instrText>
      </w:r>
      <w:r w:rsidR="00CA24FE">
        <w:rPr>
          <w:rStyle w:val="BoldCharacter"/>
        </w:rPr>
        <w:instrText xml:space="preserve"> \* MERGEFORMAT </w:instrText>
      </w:r>
      <w:r w:rsidR="00CA24FE" w:rsidRPr="00057D77">
        <w:rPr>
          <w:rStyle w:val="BoldCharacter"/>
        </w:rPr>
      </w:r>
      <w:r w:rsidR="00CA24FE" w:rsidRPr="00057D77">
        <w:rPr>
          <w:rStyle w:val="BoldCharacter"/>
        </w:rPr>
        <w:fldChar w:fldCharType="separate"/>
      </w:r>
      <w:r w:rsidR="003C6AA3" w:rsidRPr="003C6AA3">
        <w:rPr>
          <w:rStyle w:val="BoldCharacter"/>
        </w:rPr>
        <w:t>Figure 1</w:t>
      </w:r>
      <w:r w:rsidR="00CA24FE" w:rsidRPr="00057D77">
        <w:rPr>
          <w:rStyle w:val="BoldCharacter"/>
        </w:rPr>
        <w:fldChar w:fldCharType="end"/>
      </w:r>
      <w:r w:rsidR="00CA24FE">
        <w:rPr>
          <w:rFonts w:cs="Leelawadee UI Semilight"/>
        </w:rPr>
        <w:t xml:space="preserve"> </w:t>
      </w:r>
      <w:r w:rsidR="002E1D65">
        <w:rPr>
          <w:rFonts w:cs="Leelawadee UI Semilight"/>
        </w:rPr>
        <w:t>overleaf</w:t>
      </w:r>
      <w:r w:rsidR="00AD1124">
        <w:rPr>
          <w:rFonts w:cs="Leelawadee UI Semilight"/>
        </w:rPr>
        <w:t>.</w:t>
      </w:r>
    </w:p>
    <w:p w14:paraId="27C484BF" w14:textId="77777777" w:rsidR="000F02DB" w:rsidRDefault="000F02DB" w:rsidP="00E76417">
      <w:pPr>
        <w:pStyle w:val="Caption"/>
      </w:pPr>
    </w:p>
    <w:p w14:paraId="781D1D86" w14:textId="77777777" w:rsidR="000F02DB" w:rsidRDefault="000F02DB" w:rsidP="00E76417">
      <w:pPr>
        <w:pStyle w:val="Caption"/>
      </w:pPr>
    </w:p>
    <w:p w14:paraId="396BF97F" w14:textId="77777777" w:rsidR="000F02DB" w:rsidRDefault="000F02DB" w:rsidP="00E76417">
      <w:pPr>
        <w:pStyle w:val="Caption"/>
      </w:pPr>
    </w:p>
    <w:p w14:paraId="1FD61C8E" w14:textId="77777777" w:rsidR="000F02DB" w:rsidRDefault="000F02DB" w:rsidP="00E76417">
      <w:pPr>
        <w:pStyle w:val="Caption"/>
      </w:pPr>
    </w:p>
    <w:p w14:paraId="4E8756B3" w14:textId="77777777" w:rsidR="000F02DB" w:rsidRDefault="000F02DB" w:rsidP="00E76417">
      <w:pPr>
        <w:pStyle w:val="Caption"/>
      </w:pPr>
    </w:p>
    <w:p w14:paraId="22009A9F" w14:textId="1CE0B4B3" w:rsidR="001C771E" w:rsidRPr="001C4FB6" w:rsidRDefault="00E76417" w:rsidP="00586003">
      <w:pPr>
        <w:pStyle w:val="Caption"/>
        <w:ind w:left="0" w:firstLine="0"/>
      </w:pPr>
      <w:bookmarkStart w:id="4" w:name="_Ref146097016"/>
      <w:r>
        <w:t xml:space="preserve">Figure </w:t>
      </w:r>
      <w:fldSimple w:instr=" SEQ Figure \* ARABIC ">
        <w:r w:rsidR="003C6AA3">
          <w:rPr>
            <w:noProof/>
          </w:rPr>
          <w:t>1</w:t>
        </w:r>
      </w:fldSimple>
      <w:bookmarkEnd w:id="4"/>
      <w:r>
        <w:t xml:space="preserve">: </w:t>
      </w:r>
      <w:r w:rsidR="001C771E">
        <w:t xml:space="preserve">Land to which this </w:t>
      </w:r>
      <w:r w:rsidR="00173ECB">
        <w:t>A</w:t>
      </w:r>
      <w:r w:rsidR="001C771E">
        <w:t>ppendix applies</w:t>
      </w:r>
    </w:p>
    <w:p w14:paraId="0C389241" w14:textId="77777777" w:rsidR="001C771E" w:rsidRDefault="001C771E" w:rsidP="001C771E">
      <w:pPr>
        <w:pStyle w:val="Source"/>
        <w:keepNext/>
        <w:keepLines/>
        <w:rPr>
          <w:noProof/>
        </w:rPr>
      </w:pPr>
      <w:r w:rsidRPr="00B72035">
        <w:rPr>
          <w:noProof/>
        </w:rPr>
        <w:lastRenderedPageBreak/>
        <w:drawing>
          <wp:inline distT="0" distB="0" distL="0" distR="0" wp14:anchorId="13D404B4" wp14:editId="47C52C68">
            <wp:extent cx="5740400" cy="7078547"/>
            <wp:effectExtent l="0" t="0" r="0" b="8255"/>
            <wp:docPr id="1665407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07433" name=""/>
                    <pic:cNvPicPr/>
                  </pic:nvPicPr>
                  <pic:blipFill rotWithShape="1">
                    <a:blip r:embed="rId12"/>
                    <a:srcRect l="9539" t="1373" r="-1"/>
                    <a:stretch/>
                  </pic:blipFill>
                  <pic:spPr bwMode="auto">
                    <a:xfrm>
                      <a:off x="0" y="0"/>
                      <a:ext cx="5748789" cy="7088891"/>
                    </a:xfrm>
                    <a:prstGeom prst="rect">
                      <a:avLst/>
                    </a:prstGeom>
                    <a:ln>
                      <a:noFill/>
                    </a:ln>
                    <a:extLst>
                      <a:ext uri="{53640926-AAD7-44D8-BBD7-CCE9431645EC}">
                        <a14:shadowObscured xmlns:a14="http://schemas.microsoft.com/office/drawing/2010/main"/>
                      </a:ext>
                    </a:extLst>
                  </pic:spPr>
                </pic:pic>
              </a:graphicData>
            </a:graphic>
          </wp:inline>
        </w:drawing>
      </w:r>
    </w:p>
    <w:p w14:paraId="714F8CA8" w14:textId="77777777" w:rsidR="001C771E" w:rsidRPr="00E7389C" w:rsidRDefault="001C771E" w:rsidP="001C771E">
      <w:pPr>
        <w:pStyle w:val="Source"/>
        <w:keepNext/>
        <w:keepLines/>
        <w:rPr>
          <w:noProof/>
        </w:rPr>
      </w:pPr>
      <w:r w:rsidRPr="00281747">
        <w:rPr>
          <w:noProof/>
        </w:rPr>
        <w:t>Source: Department of Planning and Environment (2020)</w:t>
      </w:r>
    </w:p>
    <w:p w14:paraId="02B983C4" w14:textId="77777777" w:rsidR="001C771E" w:rsidRDefault="001C771E" w:rsidP="000D6E3C">
      <w:pPr>
        <w:rPr>
          <w:rFonts w:cs="Leelawadee UI Semilight"/>
        </w:rPr>
      </w:pPr>
    </w:p>
    <w:p w14:paraId="3700A9AF" w14:textId="77777777" w:rsidR="001C771E" w:rsidRDefault="001C771E" w:rsidP="000D6E3C">
      <w:pPr>
        <w:rPr>
          <w:rFonts w:cs="Leelawadee UI Semilight"/>
        </w:rPr>
      </w:pPr>
    </w:p>
    <w:p w14:paraId="04C13658" w14:textId="77777777" w:rsidR="001C771E" w:rsidRDefault="001C771E" w:rsidP="000D6E3C">
      <w:pPr>
        <w:rPr>
          <w:rFonts w:cs="Leelawadee UI Semilight"/>
        </w:rPr>
      </w:pPr>
    </w:p>
    <w:p w14:paraId="278CEBFE" w14:textId="0A4F5CC8" w:rsidR="006803D9" w:rsidRDefault="006803D9" w:rsidP="00057D77">
      <w:pPr>
        <w:pStyle w:val="AppendixSubHeading"/>
        <w:rPr>
          <w:rFonts w:cs="Leelawadee UI Semilight"/>
        </w:rPr>
      </w:pPr>
      <w:bookmarkStart w:id="5" w:name="_Ref146103090"/>
      <w:r w:rsidRPr="0056786B">
        <w:lastRenderedPageBreak/>
        <w:t>Development</w:t>
      </w:r>
      <w:r>
        <w:rPr>
          <w:rFonts w:cs="Leelawadee UI Semilight"/>
        </w:rPr>
        <w:t xml:space="preserve"> to which this </w:t>
      </w:r>
      <w:r w:rsidR="00173ECB">
        <w:rPr>
          <w:rFonts w:cs="Leelawadee UI Semilight"/>
        </w:rPr>
        <w:t>A</w:t>
      </w:r>
      <w:r>
        <w:rPr>
          <w:rFonts w:cs="Leelawadee UI Semilight"/>
        </w:rPr>
        <w:t>ppendix applies</w:t>
      </w:r>
      <w:bookmarkEnd w:id="5"/>
    </w:p>
    <w:p w14:paraId="5E1ED5F0" w14:textId="6E4067AA" w:rsidR="00624FA1" w:rsidRPr="00624FA1" w:rsidRDefault="00624FA1" w:rsidP="00057D77">
      <w:pPr>
        <w:keepNext/>
        <w:keepLines/>
        <w:rPr>
          <w:rFonts w:cs="Leelawadee UI Semilight"/>
        </w:rPr>
      </w:pPr>
      <w:r w:rsidRPr="00624FA1">
        <w:rPr>
          <w:rFonts w:cs="Leelawadee UI Semilight"/>
        </w:rPr>
        <w:t xml:space="preserve">This </w:t>
      </w:r>
      <w:r w:rsidR="00173ECB">
        <w:rPr>
          <w:rFonts w:cs="Leelawadee UI Semilight"/>
        </w:rPr>
        <w:t>A</w:t>
      </w:r>
      <w:r w:rsidRPr="00624FA1">
        <w:rPr>
          <w:rFonts w:cs="Leelawadee UI Semilight"/>
        </w:rPr>
        <w:t xml:space="preserve">ppendix applies to the same development as outlined in </w:t>
      </w:r>
      <w:r w:rsidRPr="00057D77">
        <w:rPr>
          <w:rStyle w:val="BoldCharacter"/>
        </w:rPr>
        <w:t xml:space="preserve">section </w:t>
      </w:r>
      <w:r w:rsidR="00236208" w:rsidRPr="00057D77">
        <w:rPr>
          <w:rStyle w:val="BoldCharacter"/>
        </w:rPr>
        <w:t>2.5</w:t>
      </w:r>
      <w:r w:rsidRPr="00057D77">
        <w:rPr>
          <w:rStyle w:val="BodyTextChar"/>
        </w:rPr>
        <w:t xml:space="preserve">. </w:t>
      </w:r>
      <w:r w:rsidRPr="00624FA1">
        <w:rPr>
          <w:rFonts w:cs="Leelawadee UI Semilight"/>
        </w:rPr>
        <w:t xml:space="preserve">Similarly, this </w:t>
      </w:r>
      <w:r w:rsidR="00173ECB">
        <w:rPr>
          <w:rFonts w:cs="Leelawadee UI Semilight"/>
        </w:rPr>
        <w:t>A</w:t>
      </w:r>
      <w:r w:rsidRPr="00624FA1">
        <w:rPr>
          <w:rFonts w:cs="Leelawadee UI Semilight"/>
        </w:rPr>
        <w:t xml:space="preserve">ppendix does not apply to development identified as being exempt from </w:t>
      </w:r>
      <w:r w:rsidRPr="004E1912">
        <w:rPr>
          <w:rFonts w:cs="Leelawadee UI Semilight"/>
        </w:rPr>
        <w:t xml:space="preserve">contributions in </w:t>
      </w:r>
      <w:r w:rsidRPr="00057D77">
        <w:rPr>
          <w:rStyle w:val="BoldCharacter"/>
        </w:rPr>
        <w:t xml:space="preserve">section </w:t>
      </w:r>
      <w:r w:rsidR="004E1912" w:rsidRPr="00057D77">
        <w:rPr>
          <w:rStyle w:val="BoldCharacter"/>
        </w:rPr>
        <w:t>3.13</w:t>
      </w:r>
      <w:r w:rsidRPr="004E1912">
        <w:rPr>
          <w:rFonts w:cs="Leelawadee UI Semilight"/>
        </w:rPr>
        <w:t xml:space="preserve"> of</w:t>
      </w:r>
      <w:r w:rsidRPr="00624FA1">
        <w:rPr>
          <w:rFonts w:cs="Leelawadee UI Semilight"/>
        </w:rPr>
        <w:t xml:space="preserve"> this plan.</w:t>
      </w:r>
    </w:p>
    <w:p w14:paraId="474ADC4C" w14:textId="408F8CF1" w:rsidR="002E1D65" w:rsidRPr="001C4FB6" w:rsidRDefault="002E1D65" w:rsidP="00057D77">
      <w:pPr>
        <w:pStyle w:val="AppendixSubHeading"/>
        <w:rPr>
          <w:rFonts w:cs="Leelawadee UI Semilight"/>
        </w:rPr>
      </w:pPr>
      <w:bookmarkStart w:id="6" w:name="_Ref146103095"/>
      <w:r>
        <w:t>Contribution rates</w:t>
      </w:r>
      <w:bookmarkEnd w:id="6"/>
    </w:p>
    <w:p w14:paraId="1DF231FE" w14:textId="1938036B" w:rsidR="002E1D65" w:rsidRPr="00001227" w:rsidRDefault="002E1D65" w:rsidP="002E1D65">
      <w:pPr>
        <w:keepNext/>
        <w:keepLines/>
        <w:rPr>
          <w:rFonts w:cs="Leelawadee UI Semilight"/>
          <w:color w:val="auto"/>
        </w:rPr>
      </w:pPr>
      <w:r>
        <w:rPr>
          <w:rFonts w:cs="Leelawadee UI Semilight"/>
        </w:rPr>
        <w:t xml:space="preserve">Development on land to which this </w:t>
      </w:r>
      <w:r w:rsidR="00173ECB">
        <w:rPr>
          <w:rFonts w:cs="Leelawadee UI Semilight"/>
        </w:rPr>
        <w:t>A</w:t>
      </w:r>
      <w:r>
        <w:rPr>
          <w:rFonts w:cs="Leelawadee UI Semilight"/>
        </w:rPr>
        <w:t xml:space="preserve">ppendix applies </w:t>
      </w:r>
      <w:r w:rsidR="00D87053">
        <w:rPr>
          <w:rFonts w:cs="Leelawadee UI Semilight"/>
        </w:rPr>
        <w:t xml:space="preserve">(Parkes </w:t>
      </w:r>
      <w:r w:rsidR="00A86BCC">
        <w:rPr>
          <w:rFonts w:cs="Leelawadee UI Semilight"/>
        </w:rPr>
        <w:t>Precinct</w:t>
      </w:r>
      <w:r w:rsidR="00D87053">
        <w:rPr>
          <w:rFonts w:cs="Leelawadee UI Semilight"/>
        </w:rPr>
        <w:t xml:space="preserve"> land) </w:t>
      </w:r>
      <w:r>
        <w:rPr>
          <w:rFonts w:cs="Leelawadee UI Semilight"/>
        </w:rPr>
        <w:t>is required to pay a section</w:t>
      </w:r>
      <w:r w:rsidR="00D87053">
        <w:rPr>
          <w:rFonts w:cs="Leelawadee UI Semilight"/>
        </w:rPr>
        <w:t> </w:t>
      </w:r>
      <w:r>
        <w:rPr>
          <w:rFonts w:cs="Leelawadee UI Semilight"/>
        </w:rPr>
        <w:t xml:space="preserve">7.12 levy calculated as a percentage of the development cost as outlined in the table below. </w:t>
      </w:r>
    </w:p>
    <w:p w14:paraId="6F74A3B4" w14:textId="4C6FF0E9" w:rsidR="002E1D65" w:rsidRDefault="00E76417" w:rsidP="00057D77">
      <w:pPr>
        <w:pStyle w:val="Caption"/>
        <w:keepNext/>
        <w:rPr>
          <w:rFonts w:cs="Leelawadee UI Semilight"/>
        </w:rPr>
      </w:pPr>
      <w:r>
        <w:t xml:space="preserve">Table </w:t>
      </w:r>
      <w:r w:rsidR="00AC5DD6">
        <w:t>6.</w:t>
      </w:r>
      <w:fldSimple w:instr=" SEQ Table \* ARABIC ">
        <w:r w:rsidR="003C6AA3">
          <w:rPr>
            <w:noProof/>
          </w:rPr>
          <w:t>1</w:t>
        </w:r>
      </w:fldSimple>
      <w:r>
        <w:t>: Contribution rates</w:t>
      </w:r>
    </w:p>
    <w:tbl>
      <w:tblPr>
        <w:tblStyle w:val="TableGrid"/>
        <w:tblW w:w="0" w:type="auto"/>
        <w:tblLook w:val="04A0" w:firstRow="1" w:lastRow="0" w:firstColumn="1" w:lastColumn="0" w:noHBand="0" w:noVBand="1"/>
      </w:tblPr>
      <w:tblGrid>
        <w:gridCol w:w="4673"/>
        <w:gridCol w:w="3820"/>
      </w:tblGrid>
      <w:tr w:rsidR="002E1D65" w:rsidRPr="00DD2D78" w14:paraId="25383286" w14:textId="77777777" w:rsidTr="006136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8B926B3" w14:textId="77777777" w:rsidR="002E1D65" w:rsidRPr="00DD2D78" w:rsidRDefault="002E1D65" w:rsidP="006136D8">
            <w:pPr>
              <w:jc w:val="center"/>
              <w:rPr>
                <w:rFonts w:cs="Leelawadee UI Semilight"/>
              </w:rPr>
            </w:pPr>
            <w:r w:rsidRPr="00DD2D78">
              <w:rPr>
                <w:rFonts w:cs="Leelawadee UI Semilight"/>
              </w:rPr>
              <w:t>Development cost</w:t>
            </w:r>
          </w:p>
        </w:tc>
        <w:tc>
          <w:tcPr>
            <w:tcW w:w="3820" w:type="dxa"/>
          </w:tcPr>
          <w:p w14:paraId="220E9A0A" w14:textId="77777777" w:rsidR="002E1D65" w:rsidRPr="00DD2D78" w:rsidRDefault="002E1D65" w:rsidP="006136D8">
            <w:pPr>
              <w:jc w:val="center"/>
              <w:cnfStyle w:val="100000000000" w:firstRow="1" w:lastRow="0" w:firstColumn="0" w:lastColumn="0" w:oddVBand="0" w:evenVBand="0" w:oddHBand="0" w:evenHBand="0" w:firstRowFirstColumn="0" w:firstRowLastColumn="0" w:lastRowFirstColumn="0" w:lastRowLastColumn="0"/>
              <w:rPr>
                <w:rFonts w:cs="Leelawadee UI Semilight"/>
              </w:rPr>
            </w:pPr>
            <w:r w:rsidRPr="00DD2D78">
              <w:rPr>
                <w:rFonts w:cs="Leelawadee UI Semilight"/>
              </w:rPr>
              <w:t>Levy rate (% of development cost)</w:t>
            </w:r>
          </w:p>
        </w:tc>
      </w:tr>
      <w:tr w:rsidR="00CD0505" w14:paraId="1FDE71A7" w14:textId="77777777" w:rsidTr="006136D8">
        <w:tc>
          <w:tcPr>
            <w:cnfStyle w:val="001000000000" w:firstRow="0" w:lastRow="0" w:firstColumn="1" w:lastColumn="0" w:oddVBand="0" w:evenVBand="0" w:oddHBand="0" w:evenHBand="0" w:firstRowFirstColumn="0" w:firstRowLastColumn="0" w:lastRowFirstColumn="0" w:lastRowLastColumn="0"/>
            <w:tcW w:w="4673" w:type="dxa"/>
          </w:tcPr>
          <w:p w14:paraId="0F2EC7C3" w14:textId="1D5C308E" w:rsidR="00CD0505" w:rsidRDefault="00AC0177" w:rsidP="006136D8">
            <w:pPr>
              <w:rPr>
                <w:rFonts w:cs="Leelawadee UI Semilight"/>
              </w:rPr>
            </w:pPr>
            <w:r>
              <w:rPr>
                <w:rFonts w:cs="Leelawadee UI Semilight"/>
              </w:rPr>
              <w:t>Up to and including $</w:t>
            </w:r>
            <w:r w:rsidR="00555268">
              <w:rPr>
                <w:rFonts w:cs="Leelawadee UI Semilight"/>
              </w:rPr>
              <w:t>2</w:t>
            </w:r>
            <w:r>
              <w:rPr>
                <w:rFonts w:cs="Leelawadee UI Semilight"/>
              </w:rPr>
              <w:t>00,000</w:t>
            </w:r>
          </w:p>
        </w:tc>
        <w:tc>
          <w:tcPr>
            <w:tcW w:w="3820" w:type="dxa"/>
          </w:tcPr>
          <w:p w14:paraId="10B2366B" w14:textId="56DF3F45" w:rsidR="00CD0505" w:rsidRDefault="00AC0177" w:rsidP="006136D8">
            <w:pPr>
              <w:jc w:val="center"/>
              <w:cnfStyle w:val="000000000000" w:firstRow="0" w:lastRow="0" w:firstColumn="0" w:lastColumn="0" w:oddVBand="0" w:evenVBand="0" w:oddHBand="0" w:evenHBand="0" w:firstRowFirstColumn="0" w:firstRowLastColumn="0" w:lastRowFirstColumn="0" w:lastRowLastColumn="0"/>
              <w:rPr>
                <w:rFonts w:cs="Leelawadee UI Semilight"/>
              </w:rPr>
            </w:pPr>
            <w:r>
              <w:rPr>
                <w:rFonts w:cs="Leelawadee UI Semilight"/>
              </w:rPr>
              <w:t>Nil</w:t>
            </w:r>
          </w:p>
        </w:tc>
      </w:tr>
      <w:tr w:rsidR="002E1D65" w14:paraId="6FE784BE" w14:textId="77777777" w:rsidTr="006136D8">
        <w:tc>
          <w:tcPr>
            <w:cnfStyle w:val="001000000000" w:firstRow="0" w:lastRow="0" w:firstColumn="1" w:lastColumn="0" w:oddVBand="0" w:evenVBand="0" w:oddHBand="0" w:evenHBand="0" w:firstRowFirstColumn="0" w:firstRowLastColumn="0" w:lastRowFirstColumn="0" w:lastRowLastColumn="0"/>
            <w:tcW w:w="4673" w:type="dxa"/>
          </w:tcPr>
          <w:p w14:paraId="40F4C5F1" w14:textId="77777777" w:rsidR="002E1D65" w:rsidRDefault="002E1D65" w:rsidP="006136D8">
            <w:pPr>
              <w:rPr>
                <w:rFonts w:cs="Leelawadee UI Semilight"/>
              </w:rPr>
            </w:pPr>
            <w:r>
              <w:rPr>
                <w:rFonts w:cs="Leelawadee UI Semilight"/>
              </w:rPr>
              <w:t>More than $200,000</w:t>
            </w:r>
          </w:p>
        </w:tc>
        <w:tc>
          <w:tcPr>
            <w:tcW w:w="3820" w:type="dxa"/>
          </w:tcPr>
          <w:p w14:paraId="095A7FDA" w14:textId="4387DB00" w:rsidR="002E1D65" w:rsidRDefault="002E1D65" w:rsidP="006136D8">
            <w:pPr>
              <w:jc w:val="center"/>
              <w:cnfStyle w:val="000000000000" w:firstRow="0" w:lastRow="0" w:firstColumn="0" w:lastColumn="0" w:oddVBand="0" w:evenVBand="0" w:oddHBand="0" w:evenHBand="0" w:firstRowFirstColumn="0" w:firstRowLastColumn="0" w:lastRowFirstColumn="0" w:lastRowLastColumn="0"/>
              <w:rPr>
                <w:rFonts w:cs="Leelawadee UI Semilight"/>
              </w:rPr>
            </w:pPr>
            <w:r>
              <w:rPr>
                <w:rFonts w:cs="Leelawadee UI Semilight"/>
              </w:rPr>
              <w:t>3%</w:t>
            </w:r>
          </w:p>
        </w:tc>
      </w:tr>
    </w:tbl>
    <w:p w14:paraId="4F8B954A" w14:textId="3D4CD6B9" w:rsidR="00B647F9" w:rsidRDefault="00B647F9" w:rsidP="00057D77">
      <w:pPr>
        <w:pStyle w:val="AppendixSubHeading"/>
      </w:pPr>
      <w:bookmarkStart w:id="7" w:name="_Ref146096758"/>
      <w:r>
        <w:t>Use of contributions</w:t>
      </w:r>
      <w:bookmarkEnd w:id="7"/>
    </w:p>
    <w:p w14:paraId="02B5A9A0" w14:textId="1523F4FA" w:rsidR="00E76417" w:rsidRDefault="00BC48EA" w:rsidP="00E76417">
      <w:r w:rsidRPr="00057D77">
        <w:t xml:space="preserve">Contributions paid and received under this </w:t>
      </w:r>
      <w:r w:rsidR="00173ECB">
        <w:t>A</w:t>
      </w:r>
      <w:r w:rsidRPr="00057D77">
        <w:t>ppendix will be applied as set out in the table below.</w:t>
      </w:r>
    </w:p>
    <w:p w14:paraId="480F58AF" w14:textId="16EB8D3B" w:rsidR="00BC48EA" w:rsidRPr="00057D77" w:rsidRDefault="00E76417" w:rsidP="00057D77">
      <w:pPr>
        <w:pStyle w:val="Caption"/>
        <w:keepNext/>
      </w:pPr>
      <w:r>
        <w:t xml:space="preserve">Table </w:t>
      </w:r>
      <w:r w:rsidR="00AC5DD6">
        <w:t>6.</w:t>
      </w:r>
      <w:fldSimple w:instr=" SEQ Table \* ARABIC ">
        <w:r w:rsidR="003C6AA3">
          <w:rPr>
            <w:noProof/>
          </w:rPr>
          <w:t>2</w:t>
        </w:r>
      </w:fldSimple>
      <w:r>
        <w:t xml:space="preserve"> </w:t>
      </w:r>
      <w:r w:rsidR="00BC48EA" w:rsidRPr="00057D77">
        <w:t xml:space="preserve">Use of contributions under this </w:t>
      </w:r>
      <w:r w:rsidR="00173ECB">
        <w:t>A</w:t>
      </w:r>
      <w:r w:rsidR="00BC48EA" w:rsidRPr="00057D77">
        <w:t>ppendix</w:t>
      </w:r>
    </w:p>
    <w:tbl>
      <w:tblPr>
        <w:tblStyle w:val="TableGrid"/>
        <w:tblW w:w="0" w:type="auto"/>
        <w:tblLook w:val="04A0" w:firstRow="1" w:lastRow="0" w:firstColumn="1" w:lastColumn="0" w:noHBand="0" w:noVBand="1"/>
      </w:tblPr>
      <w:tblGrid>
        <w:gridCol w:w="2405"/>
        <w:gridCol w:w="1559"/>
        <w:gridCol w:w="4529"/>
      </w:tblGrid>
      <w:tr w:rsidR="005145EB" w:rsidRPr="00DD2D78" w14:paraId="7E5934B2" w14:textId="77777777" w:rsidTr="003E3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4A8184" w14:textId="77777777" w:rsidR="005145EB" w:rsidRPr="00DD2D78" w:rsidRDefault="005145EB" w:rsidP="003E38E8">
            <w:pPr>
              <w:jc w:val="center"/>
              <w:rPr>
                <w:rFonts w:cs="Leelawadee UI Semilight"/>
              </w:rPr>
            </w:pPr>
            <w:r w:rsidRPr="00DD2D78">
              <w:rPr>
                <w:rFonts w:cs="Leelawadee UI Semilight"/>
              </w:rPr>
              <w:t>Development cost</w:t>
            </w:r>
          </w:p>
        </w:tc>
        <w:tc>
          <w:tcPr>
            <w:tcW w:w="1559" w:type="dxa"/>
          </w:tcPr>
          <w:p w14:paraId="15576266" w14:textId="77777777" w:rsidR="005145EB" w:rsidRPr="00DD2D78" w:rsidRDefault="005145EB" w:rsidP="003E38E8">
            <w:pPr>
              <w:jc w:val="center"/>
              <w:cnfStyle w:val="100000000000" w:firstRow="1" w:lastRow="0" w:firstColumn="0" w:lastColumn="0" w:oddVBand="0" w:evenVBand="0" w:oddHBand="0" w:evenHBand="0" w:firstRowFirstColumn="0" w:firstRowLastColumn="0" w:lastRowFirstColumn="0" w:lastRowLastColumn="0"/>
              <w:rPr>
                <w:rFonts w:cs="Leelawadee UI Semilight"/>
              </w:rPr>
            </w:pPr>
            <w:r w:rsidRPr="00DD2D78">
              <w:rPr>
                <w:rFonts w:cs="Leelawadee UI Semilight"/>
              </w:rPr>
              <w:t>Levy rate</w:t>
            </w:r>
          </w:p>
        </w:tc>
        <w:tc>
          <w:tcPr>
            <w:tcW w:w="4529" w:type="dxa"/>
          </w:tcPr>
          <w:p w14:paraId="5466946E" w14:textId="77777777" w:rsidR="005145EB" w:rsidRPr="006305F3" w:rsidRDefault="005145EB" w:rsidP="003E38E8">
            <w:pPr>
              <w:jc w:val="center"/>
              <w:cnfStyle w:val="100000000000" w:firstRow="1" w:lastRow="0" w:firstColumn="0" w:lastColumn="0" w:oddVBand="0" w:evenVBand="0" w:oddHBand="0" w:evenHBand="0" w:firstRowFirstColumn="0" w:firstRowLastColumn="0" w:lastRowFirstColumn="0" w:lastRowLastColumn="0"/>
              <w:rPr>
                <w:rFonts w:cs="Leelawadee UI Semilight"/>
              </w:rPr>
            </w:pPr>
            <w:r>
              <w:rPr>
                <w:rFonts w:cs="Leelawadee UI Semilight"/>
              </w:rPr>
              <w:t>Use / a</w:t>
            </w:r>
            <w:r w:rsidRPr="006305F3">
              <w:rPr>
                <w:rFonts w:cs="Leelawadee UI Semilight"/>
              </w:rPr>
              <w:t>pplication</w:t>
            </w:r>
          </w:p>
        </w:tc>
      </w:tr>
      <w:tr w:rsidR="005145EB" w14:paraId="3268496C" w14:textId="77777777" w:rsidTr="003E38E8">
        <w:tc>
          <w:tcPr>
            <w:cnfStyle w:val="001000000000" w:firstRow="0" w:lastRow="0" w:firstColumn="1" w:lastColumn="0" w:oddVBand="0" w:evenVBand="0" w:oddHBand="0" w:evenHBand="0" w:firstRowFirstColumn="0" w:firstRowLastColumn="0" w:lastRowFirstColumn="0" w:lastRowLastColumn="0"/>
            <w:tcW w:w="2405" w:type="dxa"/>
          </w:tcPr>
          <w:p w14:paraId="3F4790B8" w14:textId="37BEF4F7" w:rsidR="005145EB" w:rsidRDefault="005145EB" w:rsidP="003E38E8">
            <w:pPr>
              <w:jc w:val="center"/>
              <w:rPr>
                <w:rFonts w:cs="Leelawadee UI Semilight"/>
              </w:rPr>
            </w:pPr>
            <w:r>
              <w:rPr>
                <w:rFonts w:cs="Leelawadee UI Semilight"/>
              </w:rPr>
              <w:t>Up to and including $</w:t>
            </w:r>
            <w:r w:rsidR="000F6BEF">
              <w:rPr>
                <w:rFonts w:cs="Leelawadee UI Semilight"/>
              </w:rPr>
              <w:t>2</w:t>
            </w:r>
            <w:r>
              <w:rPr>
                <w:rFonts w:cs="Leelawadee UI Semilight"/>
              </w:rPr>
              <w:t>00,000</w:t>
            </w:r>
          </w:p>
        </w:tc>
        <w:tc>
          <w:tcPr>
            <w:tcW w:w="1559" w:type="dxa"/>
          </w:tcPr>
          <w:p w14:paraId="3787A6A8" w14:textId="77777777" w:rsidR="005145EB" w:rsidRDefault="005145EB" w:rsidP="003E38E8">
            <w:pPr>
              <w:jc w:val="center"/>
              <w:cnfStyle w:val="000000000000" w:firstRow="0" w:lastRow="0" w:firstColumn="0" w:lastColumn="0" w:oddVBand="0" w:evenVBand="0" w:oddHBand="0" w:evenHBand="0" w:firstRowFirstColumn="0" w:firstRowLastColumn="0" w:lastRowFirstColumn="0" w:lastRowLastColumn="0"/>
              <w:rPr>
                <w:rFonts w:cs="Leelawadee UI Semilight"/>
              </w:rPr>
            </w:pPr>
            <w:r>
              <w:rPr>
                <w:rFonts w:cs="Leelawadee UI Semilight"/>
              </w:rPr>
              <w:t>Nil</w:t>
            </w:r>
          </w:p>
        </w:tc>
        <w:tc>
          <w:tcPr>
            <w:tcW w:w="4529" w:type="dxa"/>
          </w:tcPr>
          <w:p w14:paraId="6A113D44" w14:textId="77777777" w:rsidR="005145EB" w:rsidRDefault="005145EB" w:rsidP="003E38E8">
            <w:pPr>
              <w:jc w:val="center"/>
              <w:cnfStyle w:val="000000000000" w:firstRow="0" w:lastRow="0" w:firstColumn="0" w:lastColumn="0" w:oddVBand="0" w:evenVBand="0" w:oddHBand="0" w:evenHBand="0" w:firstRowFirstColumn="0" w:firstRowLastColumn="0" w:lastRowFirstColumn="0" w:lastRowLastColumn="0"/>
              <w:rPr>
                <w:rFonts w:cs="Leelawadee UI Semilight"/>
              </w:rPr>
            </w:pPr>
            <w:r>
              <w:rPr>
                <w:rFonts w:cs="Leelawadee UI Semilight"/>
              </w:rPr>
              <w:t>-</w:t>
            </w:r>
          </w:p>
        </w:tc>
      </w:tr>
      <w:tr w:rsidR="005145EB" w14:paraId="1B1C85E4" w14:textId="77777777" w:rsidTr="003E38E8">
        <w:tc>
          <w:tcPr>
            <w:cnfStyle w:val="001000000000" w:firstRow="0" w:lastRow="0" w:firstColumn="1" w:lastColumn="0" w:oddVBand="0" w:evenVBand="0" w:oddHBand="0" w:evenHBand="0" w:firstRowFirstColumn="0" w:firstRowLastColumn="0" w:lastRowFirstColumn="0" w:lastRowLastColumn="0"/>
            <w:tcW w:w="2405" w:type="dxa"/>
          </w:tcPr>
          <w:p w14:paraId="30C60DCC" w14:textId="77777777" w:rsidR="005145EB" w:rsidRDefault="005145EB" w:rsidP="003E38E8">
            <w:pPr>
              <w:jc w:val="center"/>
              <w:rPr>
                <w:rFonts w:cs="Leelawadee UI Semilight"/>
              </w:rPr>
            </w:pPr>
            <w:r>
              <w:rPr>
                <w:rFonts w:cs="Leelawadee UI Semilight"/>
              </w:rPr>
              <w:t>More than $200,000</w:t>
            </w:r>
          </w:p>
        </w:tc>
        <w:tc>
          <w:tcPr>
            <w:tcW w:w="1559" w:type="dxa"/>
          </w:tcPr>
          <w:p w14:paraId="390C0B53" w14:textId="77777777" w:rsidR="005145EB" w:rsidRDefault="005145EB" w:rsidP="003E38E8">
            <w:pPr>
              <w:jc w:val="center"/>
              <w:cnfStyle w:val="000000000000" w:firstRow="0" w:lastRow="0" w:firstColumn="0" w:lastColumn="0" w:oddVBand="0" w:evenVBand="0" w:oddHBand="0" w:evenHBand="0" w:firstRowFirstColumn="0" w:firstRowLastColumn="0" w:lastRowFirstColumn="0" w:lastRowLastColumn="0"/>
              <w:rPr>
                <w:rFonts w:cs="Leelawadee UI Semilight"/>
              </w:rPr>
            </w:pPr>
            <w:r>
              <w:rPr>
                <w:rFonts w:cs="Leelawadee UI Semilight"/>
              </w:rPr>
              <w:t>3%</w:t>
            </w:r>
          </w:p>
        </w:tc>
        <w:tc>
          <w:tcPr>
            <w:tcW w:w="4529" w:type="dxa"/>
          </w:tcPr>
          <w:p w14:paraId="1E1B3C2E" w14:textId="77777777" w:rsidR="005145EB" w:rsidRDefault="005145EB" w:rsidP="003E38E8">
            <w:pPr>
              <w:jc w:val="center"/>
              <w:cnfStyle w:val="000000000000" w:firstRow="0" w:lastRow="0" w:firstColumn="0" w:lastColumn="0" w:oddVBand="0" w:evenVBand="0" w:oddHBand="0" w:evenHBand="0" w:firstRowFirstColumn="0" w:firstRowLastColumn="0" w:lastRowFirstColumn="0" w:lastRowLastColumn="0"/>
              <w:rPr>
                <w:rFonts w:cs="Leelawadee UI Semilight"/>
              </w:rPr>
            </w:pPr>
            <w:r>
              <w:rPr>
                <w:rFonts w:cs="Leelawadee UI Semilight"/>
              </w:rPr>
              <w:t>Paid to Council.</w:t>
            </w:r>
          </w:p>
          <w:p w14:paraId="15E08010" w14:textId="5E868C63" w:rsidR="005145EB" w:rsidRDefault="005145EB" w:rsidP="003E38E8">
            <w:pPr>
              <w:jc w:val="center"/>
              <w:cnfStyle w:val="000000000000" w:firstRow="0" w:lastRow="0" w:firstColumn="0" w:lastColumn="0" w:oddVBand="0" w:evenVBand="0" w:oddHBand="0" w:evenHBand="0" w:firstRowFirstColumn="0" w:firstRowLastColumn="0" w:lastRowFirstColumn="0" w:lastRowLastColumn="0"/>
              <w:rPr>
                <w:rFonts w:cs="Leelawadee UI Semilight"/>
              </w:rPr>
            </w:pPr>
            <w:r>
              <w:rPr>
                <w:rFonts w:cs="Leelawadee UI Semilight"/>
              </w:rPr>
              <w:t xml:space="preserve">1% retained by Council and applied to the infrastructure schedule in </w:t>
            </w:r>
            <w:r w:rsidRPr="00F634F9">
              <w:rPr>
                <w:rFonts w:cs="Leelawadee UI Semilight"/>
              </w:rPr>
              <w:t xml:space="preserve">Appendix </w:t>
            </w:r>
            <w:r w:rsidR="00F634F9" w:rsidRPr="00F634F9">
              <w:rPr>
                <w:rFonts w:cs="Leelawadee UI Semilight"/>
              </w:rPr>
              <w:t>1</w:t>
            </w:r>
            <w:r>
              <w:rPr>
                <w:rFonts w:cs="Leelawadee UI Semilight"/>
              </w:rPr>
              <w:t xml:space="preserve"> of this Plan.</w:t>
            </w:r>
          </w:p>
          <w:p w14:paraId="609DA700" w14:textId="214419B9" w:rsidR="005145EB" w:rsidRDefault="005145EB" w:rsidP="003E38E8">
            <w:pPr>
              <w:jc w:val="center"/>
              <w:cnfStyle w:val="000000000000" w:firstRow="0" w:lastRow="0" w:firstColumn="0" w:lastColumn="0" w:oddVBand="0" w:evenVBand="0" w:oddHBand="0" w:evenHBand="0" w:firstRowFirstColumn="0" w:firstRowLastColumn="0" w:lastRowFirstColumn="0" w:lastRowLastColumn="0"/>
              <w:rPr>
                <w:rFonts w:cs="Leelawadee UI Semilight"/>
              </w:rPr>
            </w:pPr>
            <w:r>
              <w:rPr>
                <w:rFonts w:cs="Leelawadee UI Semilight"/>
              </w:rPr>
              <w:t xml:space="preserve">2% transferred to </w:t>
            </w:r>
            <w:r w:rsidR="00C878E8">
              <w:rPr>
                <w:rFonts w:cs="Leelawadee UI Semilight"/>
              </w:rPr>
              <w:t>RGDC</w:t>
            </w:r>
            <w:r>
              <w:rPr>
                <w:rFonts w:cs="Leelawadee UI Semilight"/>
              </w:rPr>
              <w:t xml:space="preserve"> </w:t>
            </w:r>
            <w:r w:rsidR="00C878E8">
              <w:rPr>
                <w:rFonts w:cs="Leelawadee UI Semilight"/>
              </w:rPr>
              <w:t xml:space="preserve">in </w:t>
            </w:r>
            <w:r w:rsidR="004F5236">
              <w:rPr>
                <w:rFonts w:cs="Leelawadee UI Semilight"/>
              </w:rPr>
              <w:t>consideration</w:t>
            </w:r>
            <w:r w:rsidR="00C878E8">
              <w:rPr>
                <w:rFonts w:cs="Leelawadee UI Semilight"/>
              </w:rPr>
              <w:t xml:space="preserve"> for </w:t>
            </w:r>
            <w:r>
              <w:rPr>
                <w:rFonts w:cs="Leelawadee UI Semilight"/>
              </w:rPr>
              <w:t xml:space="preserve">the </w:t>
            </w:r>
            <w:r w:rsidR="00C878E8">
              <w:rPr>
                <w:rFonts w:cs="Leelawadee UI Semilight"/>
              </w:rPr>
              <w:t xml:space="preserve">delivery </w:t>
            </w:r>
            <w:r w:rsidR="004F5236">
              <w:rPr>
                <w:rFonts w:cs="Leelawadee UI Semilight"/>
              </w:rPr>
              <w:t xml:space="preserve">by RGDC </w:t>
            </w:r>
            <w:r w:rsidR="00C878E8">
              <w:rPr>
                <w:rFonts w:cs="Leelawadee UI Semilight"/>
              </w:rPr>
              <w:t xml:space="preserve">of the </w:t>
            </w:r>
            <w:r>
              <w:rPr>
                <w:rFonts w:cs="Leelawadee UI Semilight"/>
              </w:rPr>
              <w:t xml:space="preserve">infrastructure schedule in section </w:t>
            </w:r>
            <w:r w:rsidR="004443A1">
              <w:rPr>
                <w:rFonts w:cs="Leelawadee UI Semilight"/>
              </w:rPr>
              <w:t>6.1</w:t>
            </w:r>
            <w:r w:rsidR="00AB5165">
              <w:rPr>
                <w:rFonts w:cs="Leelawadee UI Semilight"/>
              </w:rPr>
              <w:t>3</w:t>
            </w:r>
            <w:r>
              <w:rPr>
                <w:rFonts w:cs="Leelawadee UI Semilight"/>
              </w:rPr>
              <w:t xml:space="preserve"> of this </w:t>
            </w:r>
            <w:r w:rsidR="00AB18E3">
              <w:rPr>
                <w:rFonts w:cs="Leelawadee UI Semilight"/>
              </w:rPr>
              <w:t>A</w:t>
            </w:r>
            <w:r>
              <w:rPr>
                <w:rFonts w:cs="Leelawadee UI Semilight"/>
              </w:rPr>
              <w:t>ppendix</w:t>
            </w:r>
            <w:r w:rsidR="00C878E8">
              <w:rPr>
                <w:rFonts w:cs="Leelawadee UI Semilight"/>
              </w:rPr>
              <w:t xml:space="preserve"> on Council</w:t>
            </w:r>
            <w:r w:rsidR="00F553CB">
              <w:rPr>
                <w:rFonts w:cs="Leelawadee UI Semilight"/>
              </w:rPr>
              <w:t>’s behalf</w:t>
            </w:r>
            <w:r>
              <w:rPr>
                <w:rFonts w:cs="Leelawadee UI Semilight"/>
              </w:rPr>
              <w:t>.</w:t>
            </w:r>
          </w:p>
        </w:tc>
      </w:tr>
    </w:tbl>
    <w:p w14:paraId="62B5EAB6" w14:textId="08693780" w:rsidR="006941FA" w:rsidRDefault="006941FA" w:rsidP="00057D77">
      <w:pPr>
        <w:pStyle w:val="AppendixSubHeading"/>
      </w:pPr>
      <w:bookmarkStart w:id="8" w:name="_Ref146103105"/>
      <w:r>
        <w:t xml:space="preserve">Review of this </w:t>
      </w:r>
      <w:r w:rsidR="00AB18E3">
        <w:t>A</w:t>
      </w:r>
      <w:r>
        <w:t>ppendix</w:t>
      </w:r>
      <w:bookmarkEnd w:id="8"/>
    </w:p>
    <w:p w14:paraId="4CA2413F" w14:textId="10C6F46D" w:rsidR="00187D38" w:rsidRDefault="00187D38" w:rsidP="00187D38">
      <w:r>
        <w:t xml:space="preserve">This </w:t>
      </w:r>
      <w:r w:rsidR="004443A1">
        <w:t>Appendix</w:t>
      </w:r>
      <w:r w:rsidR="009D3B1C">
        <w:t xml:space="preserve"> </w:t>
      </w:r>
      <w:r>
        <w:t xml:space="preserve">will be reviewed every five (5) years to ensure the plan’s works schedules respond to the evolving infrastructure needs of the </w:t>
      </w:r>
      <w:r w:rsidR="00A07854">
        <w:t xml:space="preserve">Parkes </w:t>
      </w:r>
      <w:r w:rsidR="00AB18E3">
        <w:t xml:space="preserve">Precinct </w:t>
      </w:r>
      <w:r>
        <w:t>and wider area.</w:t>
      </w:r>
    </w:p>
    <w:p w14:paraId="347D7242" w14:textId="07ADE16F" w:rsidR="006941FA" w:rsidRDefault="00187D38" w:rsidP="00187D38">
      <w:r>
        <w:t>Pursuant to section 215(5) of the EP&amp;A Regulation, Council may make certain minor adjustments or amendments to the plan without prior public exhibition and adoption by Council. Minor adjustments could include minor typographical corrections.</w:t>
      </w:r>
    </w:p>
    <w:p w14:paraId="4AEC339A" w14:textId="21EAF373" w:rsidR="00631AC4" w:rsidRDefault="00631AC4" w:rsidP="00187D38">
      <w:r>
        <w:t>It is expected that any review to this appendix would be led by RGDC and be undertaken in consultation and collaboration with Council.</w:t>
      </w:r>
    </w:p>
    <w:p w14:paraId="2E7B60B2" w14:textId="1710C157" w:rsidR="00961041" w:rsidRDefault="00961041">
      <w:pPr>
        <w:pStyle w:val="AppendixSubHeading"/>
      </w:pPr>
      <w:bookmarkStart w:id="9" w:name="_Ref146103154"/>
      <w:r>
        <w:lastRenderedPageBreak/>
        <w:t xml:space="preserve">Strategic </w:t>
      </w:r>
      <w:r w:rsidR="00795095">
        <w:t>p</w:t>
      </w:r>
      <w:r>
        <w:t xml:space="preserve">lanning </w:t>
      </w:r>
      <w:r w:rsidR="00795095">
        <w:t>f</w:t>
      </w:r>
      <w:r>
        <w:t>ramework</w:t>
      </w:r>
      <w:bookmarkEnd w:id="9"/>
    </w:p>
    <w:p w14:paraId="0766D972" w14:textId="3661F1FB" w:rsidR="00961041" w:rsidRDefault="0007264C" w:rsidP="0007264C">
      <w:pPr>
        <w:pStyle w:val="BodyText"/>
      </w:pPr>
      <w:r>
        <w:t xml:space="preserve">This </w:t>
      </w:r>
      <w:r w:rsidR="00AB18E3">
        <w:t>A</w:t>
      </w:r>
      <w:r>
        <w:t xml:space="preserve">ppendix has been prepared within a wider strategic planning framework for not only the Parkes </w:t>
      </w:r>
      <w:r w:rsidR="00A86BCC">
        <w:t>Special Activation Precinct</w:t>
      </w:r>
      <w:r>
        <w:t xml:space="preserve"> but the </w:t>
      </w:r>
      <w:r w:rsidRPr="00234DBE">
        <w:t xml:space="preserve">wider </w:t>
      </w:r>
      <w:r w:rsidR="008C6228" w:rsidRPr="00057D77">
        <w:t>Mid</w:t>
      </w:r>
      <w:r w:rsidR="00234DBE" w:rsidRPr="00057D77">
        <w:t>-Lachlan</w:t>
      </w:r>
      <w:r w:rsidRPr="00234DBE">
        <w:t xml:space="preserve"> region of NSW. </w:t>
      </w:r>
      <w:proofErr w:type="gramStart"/>
      <w:r w:rsidRPr="00234DBE">
        <w:t>A</w:t>
      </w:r>
      <w:r>
        <w:t xml:space="preserve"> number of</w:t>
      </w:r>
      <w:proofErr w:type="gramEnd"/>
      <w:r>
        <w:t xml:space="preserve"> plans and strategies have been prepared by commonwealth, state and local governments to guide the future growth and direction of Parkes LGA over the next 20 years and beyond. A summary of the key plans and strategies of relevance to Parkes LGA’s economic and employment narrative and the development of the Parkes S</w:t>
      </w:r>
      <w:r w:rsidR="00AB18E3">
        <w:t xml:space="preserve">pecial Activation </w:t>
      </w:r>
      <w:r>
        <w:t>P</w:t>
      </w:r>
      <w:r w:rsidR="00AB18E3">
        <w:t>recinct</w:t>
      </w:r>
      <w:r>
        <w:t xml:space="preserve"> are outlined below.</w:t>
      </w:r>
    </w:p>
    <w:p w14:paraId="04FA90CE" w14:textId="4759D6A0" w:rsidR="00843AEE" w:rsidRDefault="00843AEE" w:rsidP="0007264C">
      <w:pPr>
        <w:pStyle w:val="BodyText"/>
        <w:rPr>
          <w:rStyle w:val="BoldCharacter"/>
        </w:rPr>
      </w:pPr>
      <w:bookmarkStart w:id="10" w:name="_Hlk146104474"/>
      <w:r>
        <w:rPr>
          <w:rStyle w:val="BoldCharacter"/>
        </w:rPr>
        <w:t>Parkes Special Activation Precinct Master</w:t>
      </w:r>
      <w:r w:rsidR="00AB18E3">
        <w:rPr>
          <w:rStyle w:val="BoldCharacter"/>
        </w:rPr>
        <w:t xml:space="preserve"> P</w:t>
      </w:r>
      <w:r>
        <w:rPr>
          <w:rStyle w:val="BoldCharacter"/>
        </w:rPr>
        <w:t>lan</w:t>
      </w:r>
    </w:p>
    <w:p w14:paraId="5C7413A5" w14:textId="08FDF7E2" w:rsidR="005C4A1D" w:rsidRPr="00057D77" w:rsidRDefault="005C4A1D" w:rsidP="005C4A1D">
      <w:pPr>
        <w:pStyle w:val="BodyText"/>
      </w:pPr>
      <w:r w:rsidRPr="00057D77">
        <w:t xml:space="preserve">In </w:t>
      </w:r>
      <w:r w:rsidR="00A22954">
        <w:t xml:space="preserve">June </w:t>
      </w:r>
      <w:r w:rsidRPr="00057D77">
        <w:t>2020, the Department of Planning and Environment (</w:t>
      </w:r>
      <w:r w:rsidRPr="00FC1994">
        <w:rPr>
          <w:b/>
          <w:bCs/>
        </w:rPr>
        <w:t>DPE</w:t>
      </w:r>
      <w:r w:rsidRPr="00057D77">
        <w:t xml:space="preserve">) finalised the Parkes Special Activation Precinct Master Plan. The master plan is an important part of the planning framework for the delivery of the </w:t>
      </w:r>
      <w:r w:rsidR="00A86BCC">
        <w:t>Precinct</w:t>
      </w:r>
      <w:r w:rsidRPr="00057D77">
        <w:t xml:space="preserve"> and is a statutory planning document that supports the State Environmental Planning Policy (</w:t>
      </w:r>
      <w:r w:rsidR="004F5236">
        <w:t>Precincts–Regional</w:t>
      </w:r>
      <w:r w:rsidRPr="00057D77">
        <w:t>) 202</w:t>
      </w:r>
      <w:r w:rsidR="004F5236">
        <w:t>1</w:t>
      </w:r>
      <w:r w:rsidRPr="00057D77">
        <w:t xml:space="preserve">. </w:t>
      </w:r>
    </w:p>
    <w:p w14:paraId="4FBB9723" w14:textId="392A3509" w:rsidR="005C4A1D" w:rsidRDefault="00A22954" w:rsidP="00A22954">
      <w:pPr>
        <w:pStyle w:val="BodyText"/>
        <w:rPr>
          <w:rStyle w:val="BoldCharacter"/>
          <w:rFonts w:ascii="Leelawadee UI Semilight" w:hAnsi="Leelawadee UI Semilight"/>
          <w:b w:val="0"/>
          <w:color w:val="000000"/>
        </w:rPr>
      </w:pPr>
      <w:r w:rsidRPr="00A22954">
        <w:rPr>
          <w:rStyle w:val="BoldCharacter"/>
          <w:rFonts w:ascii="Leelawadee UI Semilight" w:hAnsi="Leelawadee UI Semilight"/>
          <w:b w:val="0"/>
          <w:color w:val="000000"/>
        </w:rPr>
        <w:t xml:space="preserve">The master plan provides the Vision and Principles for the </w:t>
      </w:r>
      <w:r w:rsidR="00681BF1">
        <w:rPr>
          <w:rStyle w:val="BoldCharacter"/>
          <w:rFonts w:ascii="Leelawadee UI Semilight" w:hAnsi="Leelawadee UI Semilight"/>
          <w:b w:val="0"/>
          <w:color w:val="000000"/>
        </w:rPr>
        <w:t xml:space="preserve">Parkes </w:t>
      </w:r>
      <w:r w:rsidRPr="00A22954">
        <w:rPr>
          <w:rStyle w:val="BoldCharacter"/>
          <w:rFonts w:ascii="Leelawadee UI Semilight" w:hAnsi="Leelawadee UI Semilight"/>
          <w:b w:val="0"/>
          <w:color w:val="000000"/>
        </w:rPr>
        <w:t>Special Activation Precinct,</w:t>
      </w:r>
      <w:r>
        <w:rPr>
          <w:rStyle w:val="BoldCharacter"/>
          <w:rFonts w:ascii="Leelawadee UI Semilight" w:hAnsi="Leelawadee UI Semilight"/>
          <w:b w:val="0"/>
          <w:color w:val="000000"/>
        </w:rPr>
        <w:t xml:space="preserve"> </w:t>
      </w:r>
      <w:r w:rsidRPr="00A22954">
        <w:rPr>
          <w:rStyle w:val="BoldCharacter"/>
          <w:rFonts w:ascii="Leelawadee UI Semilight" w:hAnsi="Leelawadee UI Semilight"/>
          <w:b w:val="0"/>
          <w:color w:val="000000"/>
        </w:rPr>
        <w:t xml:space="preserve">a Structure Plan and provisions to ensure that the vision is achieved. It also describes </w:t>
      </w:r>
      <w:proofErr w:type="gramStart"/>
      <w:r w:rsidRPr="00A22954">
        <w:rPr>
          <w:rStyle w:val="BoldCharacter"/>
          <w:rFonts w:ascii="Leelawadee UI Semilight" w:hAnsi="Leelawadee UI Semilight"/>
          <w:b w:val="0"/>
          <w:color w:val="000000"/>
        </w:rPr>
        <w:t>particular</w:t>
      </w:r>
      <w:r>
        <w:rPr>
          <w:rStyle w:val="BoldCharacter"/>
          <w:rFonts w:ascii="Leelawadee UI Semilight" w:hAnsi="Leelawadee UI Semilight"/>
          <w:b w:val="0"/>
          <w:color w:val="000000"/>
        </w:rPr>
        <w:t xml:space="preserve"> </w:t>
      </w:r>
      <w:r w:rsidRPr="00A22954">
        <w:rPr>
          <w:rStyle w:val="BoldCharacter"/>
          <w:rFonts w:ascii="Leelawadee UI Semilight" w:hAnsi="Leelawadee UI Semilight"/>
          <w:b w:val="0"/>
          <w:color w:val="000000"/>
        </w:rPr>
        <w:t>matters</w:t>
      </w:r>
      <w:proofErr w:type="gramEnd"/>
      <w:r w:rsidRPr="00A22954">
        <w:rPr>
          <w:rStyle w:val="BoldCharacter"/>
          <w:rFonts w:ascii="Leelawadee UI Semilight" w:hAnsi="Leelawadee UI Semilight"/>
          <w:b w:val="0"/>
          <w:color w:val="000000"/>
        </w:rPr>
        <w:t xml:space="preserve"> that should be addressed in more detail as part of the Delivery Plan, to be prepared in the</w:t>
      </w:r>
      <w:r>
        <w:rPr>
          <w:rStyle w:val="BoldCharacter"/>
          <w:rFonts w:ascii="Leelawadee UI Semilight" w:hAnsi="Leelawadee UI Semilight"/>
          <w:b w:val="0"/>
          <w:color w:val="000000"/>
        </w:rPr>
        <w:t xml:space="preserve"> </w:t>
      </w:r>
      <w:r w:rsidRPr="00A22954">
        <w:rPr>
          <w:rStyle w:val="BoldCharacter"/>
          <w:rFonts w:ascii="Leelawadee UI Semilight" w:hAnsi="Leelawadee UI Semilight"/>
          <w:b w:val="0"/>
          <w:color w:val="000000"/>
        </w:rPr>
        <w:t>next stages.</w:t>
      </w:r>
    </w:p>
    <w:p w14:paraId="009F8FAC" w14:textId="32D332C2" w:rsidR="006F5541" w:rsidRPr="006F5541" w:rsidRDefault="006F5541" w:rsidP="006F5541">
      <w:pPr>
        <w:pStyle w:val="BodyText"/>
        <w:rPr>
          <w:rStyle w:val="BoldCharacter"/>
          <w:rFonts w:ascii="Leelawadee UI Semilight" w:hAnsi="Leelawadee UI Semilight"/>
          <w:b w:val="0"/>
          <w:color w:val="000000"/>
        </w:rPr>
      </w:pPr>
      <w:r w:rsidRPr="006F5541">
        <w:rPr>
          <w:rStyle w:val="BoldCharacter"/>
          <w:rFonts w:ascii="Leelawadee UI Semilight" w:hAnsi="Leelawadee UI Semilight"/>
          <w:b w:val="0"/>
          <w:color w:val="000000"/>
        </w:rPr>
        <w:t>Leading up to the preparation of the master plan a detailed assessment of the investigation area was</w:t>
      </w:r>
      <w:r>
        <w:rPr>
          <w:rStyle w:val="BoldCharacter"/>
          <w:rFonts w:ascii="Leelawadee UI Semilight" w:hAnsi="Leelawadee UI Semilight"/>
          <w:b w:val="0"/>
          <w:color w:val="000000"/>
        </w:rPr>
        <w:t xml:space="preserve"> </w:t>
      </w:r>
      <w:r w:rsidRPr="006F5541">
        <w:rPr>
          <w:rStyle w:val="BoldCharacter"/>
          <w:rFonts w:ascii="Leelawadee UI Semilight" w:hAnsi="Leelawadee UI Semilight"/>
          <w:b w:val="0"/>
          <w:color w:val="000000"/>
        </w:rPr>
        <w:t>undertaken in 20</w:t>
      </w:r>
      <w:r w:rsidR="002D16A5">
        <w:rPr>
          <w:rStyle w:val="BoldCharacter"/>
          <w:rFonts w:ascii="Leelawadee UI Semilight" w:hAnsi="Leelawadee UI Semilight"/>
          <w:b w:val="0"/>
          <w:color w:val="000000"/>
        </w:rPr>
        <w:t>19 a</w:t>
      </w:r>
      <w:r w:rsidRPr="006F5541">
        <w:rPr>
          <w:rStyle w:val="BoldCharacter"/>
          <w:rFonts w:ascii="Leelawadee UI Semilight" w:hAnsi="Leelawadee UI Semilight"/>
          <w:b w:val="0"/>
          <w:color w:val="000000"/>
        </w:rPr>
        <w:t>nd technical experts, ecologists, engineers, stakeholders and urban planners</w:t>
      </w:r>
      <w:r>
        <w:rPr>
          <w:rStyle w:val="BoldCharacter"/>
          <w:rFonts w:ascii="Leelawadee UI Semilight" w:hAnsi="Leelawadee UI Semilight"/>
          <w:b w:val="0"/>
          <w:color w:val="000000"/>
        </w:rPr>
        <w:t xml:space="preserve"> </w:t>
      </w:r>
      <w:r w:rsidRPr="006F5541">
        <w:rPr>
          <w:rStyle w:val="BoldCharacter"/>
          <w:rFonts w:ascii="Leelawadee UI Semilight" w:hAnsi="Leelawadee UI Semilight"/>
          <w:b w:val="0"/>
          <w:color w:val="000000"/>
        </w:rPr>
        <w:t>tested and refined scenarios and ideas to create the final master plan. Ongoing input and feedback</w:t>
      </w:r>
      <w:r>
        <w:rPr>
          <w:rStyle w:val="BoldCharacter"/>
          <w:rFonts w:ascii="Leelawadee UI Semilight" w:hAnsi="Leelawadee UI Semilight"/>
          <w:b w:val="0"/>
          <w:color w:val="000000"/>
        </w:rPr>
        <w:t xml:space="preserve"> </w:t>
      </w:r>
      <w:r w:rsidRPr="006F5541">
        <w:rPr>
          <w:rStyle w:val="BoldCharacter"/>
          <w:rFonts w:ascii="Leelawadee UI Semilight" w:hAnsi="Leelawadee UI Semilight"/>
          <w:b w:val="0"/>
          <w:color w:val="000000"/>
        </w:rPr>
        <w:t>from the community, landowners, businesses, and other key stakeholders also played a key role in</w:t>
      </w:r>
      <w:r>
        <w:rPr>
          <w:rStyle w:val="BoldCharacter"/>
          <w:rFonts w:ascii="Leelawadee UI Semilight" w:hAnsi="Leelawadee UI Semilight"/>
          <w:b w:val="0"/>
          <w:color w:val="000000"/>
        </w:rPr>
        <w:t xml:space="preserve"> </w:t>
      </w:r>
      <w:r w:rsidRPr="006F5541">
        <w:rPr>
          <w:rStyle w:val="BoldCharacter"/>
          <w:rFonts w:ascii="Leelawadee UI Semilight" w:hAnsi="Leelawadee UI Semilight"/>
          <w:b w:val="0"/>
          <w:color w:val="000000"/>
        </w:rPr>
        <w:t>the master planning process.</w:t>
      </w:r>
    </w:p>
    <w:p w14:paraId="4C6714EF" w14:textId="3494F4C6" w:rsidR="006F5541" w:rsidRPr="006F5541" w:rsidRDefault="006F5541" w:rsidP="006F5541">
      <w:pPr>
        <w:pStyle w:val="BodyText"/>
        <w:rPr>
          <w:rStyle w:val="BoldCharacter"/>
          <w:rFonts w:ascii="Leelawadee UI Semilight" w:hAnsi="Leelawadee UI Semilight"/>
          <w:b w:val="0"/>
          <w:color w:val="000000"/>
        </w:rPr>
      </w:pPr>
      <w:r w:rsidRPr="006F5541">
        <w:rPr>
          <w:rStyle w:val="BoldCharacter"/>
          <w:rFonts w:ascii="Leelawadee UI Semilight" w:hAnsi="Leelawadee UI Semilight"/>
          <w:b w:val="0"/>
          <w:color w:val="000000"/>
        </w:rPr>
        <w:t xml:space="preserve">The master plan includes a set of guiding principles developed by DPE and </w:t>
      </w:r>
      <w:r w:rsidR="005D67F9">
        <w:rPr>
          <w:rStyle w:val="BoldCharacter"/>
          <w:rFonts w:ascii="Leelawadee UI Semilight" w:hAnsi="Leelawadee UI Semilight"/>
          <w:b w:val="0"/>
          <w:color w:val="000000"/>
        </w:rPr>
        <w:t>Parkes Shire</w:t>
      </w:r>
      <w:r>
        <w:rPr>
          <w:rStyle w:val="BoldCharacter"/>
          <w:rFonts w:ascii="Leelawadee UI Semilight" w:hAnsi="Leelawadee UI Semilight"/>
          <w:b w:val="0"/>
          <w:color w:val="000000"/>
        </w:rPr>
        <w:t xml:space="preserve"> </w:t>
      </w:r>
      <w:r w:rsidRPr="006F5541">
        <w:rPr>
          <w:rStyle w:val="BoldCharacter"/>
          <w:rFonts w:ascii="Leelawadee UI Semilight" w:hAnsi="Leelawadee UI Semilight"/>
          <w:b w:val="0"/>
          <w:color w:val="000000"/>
        </w:rPr>
        <w:t xml:space="preserve">Council in consultation with State and Federal agencies for the </w:t>
      </w:r>
      <w:r w:rsidR="002C536A">
        <w:rPr>
          <w:rStyle w:val="BoldCharacter"/>
          <w:rFonts w:ascii="Leelawadee UI Semilight" w:hAnsi="Leelawadee UI Semilight"/>
          <w:b w:val="0"/>
          <w:color w:val="000000"/>
        </w:rPr>
        <w:t>P</w:t>
      </w:r>
      <w:r w:rsidR="002003BC">
        <w:rPr>
          <w:rStyle w:val="BoldCharacter"/>
          <w:rFonts w:ascii="Leelawadee UI Semilight" w:hAnsi="Leelawadee UI Semilight"/>
          <w:b w:val="0"/>
          <w:color w:val="000000"/>
        </w:rPr>
        <w:t>a</w:t>
      </w:r>
      <w:r w:rsidR="002C536A">
        <w:rPr>
          <w:rStyle w:val="BoldCharacter"/>
          <w:rFonts w:ascii="Leelawadee UI Semilight" w:hAnsi="Leelawadee UI Semilight"/>
          <w:b w:val="0"/>
          <w:color w:val="000000"/>
        </w:rPr>
        <w:t>rkes</w:t>
      </w:r>
      <w:r w:rsidRPr="006F5541">
        <w:rPr>
          <w:rStyle w:val="BoldCharacter"/>
          <w:rFonts w:ascii="Leelawadee UI Semilight" w:hAnsi="Leelawadee UI Semilight"/>
          <w:b w:val="0"/>
          <w:color w:val="000000"/>
        </w:rPr>
        <w:t xml:space="preserve"> Special Activation</w:t>
      </w:r>
      <w:r>
        <w:rPr>
          <w:rStyle w:val="BoldCharacter"/>
          <w:rFonts w:ascii="Leelawadee UI Semilight" w:hAnsi="Leelawadee UI Semilight"/>
          <w:b w:val="0"/>
          <w:color w:val="000000"/>
        </w:rPr>
        <w:t xml:space="preserve"> </w:t>
      </w:r>
      <w:r w:rsidRPr="006F5541">
        <w:rPr>
          <w:rStyle w:val="BoldCharacter"/>
          <w:rFonts w:ascii="Leelawadee UI Semilight" w:hAnsi="Leelawadee UI Semilight"/>
          <w:b w:val="0"/>
          <w:color w:val="000000"/>
        </w:rPr>
        <w:t xml:space="preserve">Precinct draft Master Plan. These Principles underpin the planning for the </w:t>
      </w:r>
      <w:r w:rsidR="005D67F9">
        <w:rPr>
          <w:rStyle w:val="BoldCharacter"/>
          <w:rFonts w:ascii="Leelawadee UI Semilight" w:hAnsi="Leelawadee UI Semilight"/>
          <w:b w:val="0"/>
          <w:color w:val="000000"/>
        </w:rPr>
        <w:t>Parkes</w:t>
      </w:r>
      <w:r w:rsidRPr="006F5541">
        <w:rPr>
          <w:rStyle w:val="BoldCharacter"/>
          <w:rFonts w:ascii="Leelawadee UI Semilight" w:hAnsi="Leelawadee UI Semilight"/>
          <w:b w:val="0"/>
          <w:color w:val="000000"/>
        </w:rPr>
        <w:t xml:space="preserve"> Special</w:t>
      </w:r>
      <w:r>
        <w:rPr>
          <w:rStyle w:val="BoldCharacter"/>
          <w:rFonts w:ascii="Leelawadee UI Semilight" w:hAnsi="Leelawadee UI Semilight"/>
          <w:b w:val="0"/>
          <w:color w:val="000000"/>
        </w:rPr>
        <w:t xml:space="preserve"> </w:t>
      </w:r>
      <w:r w:rsidRPr="006F5541">
        <w:rPr>
          <w:rStyle w:val="BoldCharacter"/>
          <w:rFonts w:ascii="Leelawadee UI Semilight" w:hAnsi="Leelawadee UI Semilight"/>
          <w:b w:val="0"/>
          <w:color w:val="000000"/>
        </w:rPr>
        <w:t>Activation Precinct and will be considered in the assessment of applications for Activation Precinct</w:t>
      </w:r>
      <w:r>
        <w:rPr>
          <w:rStyle w:val="BoldCharacter"/>
          <w:rFonts w:ascii="Leelawadee UI Semilight" w:hAnsi="Leelawadee UI Semilight"/>
          <w:b w:val="0"/>
          <w:color w:val="000000"/>
        </w:rPr>
        <w:t xml:space="preserve"> </w:t>
      </w:r>
      <w:r w:rsidRPr="006F5541">
        <w:rPr>
          <w:rStyle w:val="BoldCharacter"/>
          <w:rFonts w:ascii="Leelawadee UI Semilight" w:hAnsi="Leelawadee UI Semilight"/>
          <w:b w:val="0"/>
          <w:color w:val="000000"/>
        </w:rPr>
        <w:t>Certificates and the issuing of development consents.</w:t>
      </w:r>
    </w:p>
    <w:p w14:paraId="1F53E1B0" w14:textId="35B27CD4" w:rsidR="006F5541" w:rsidRDefault="006F5541" w:rsidP="006F5541">
      <w:pPr>
        <w:pStyle w:val="BodyText"/>
        <w:rPr>
          <w:rStyle w:val="BoldCharacter"/>
          <w:rFonts w:ascii="Leelawadee UI Semilight" w:hAnsi="Leelawadee UI Semilight"/>
          <w:b w:val="0"/>
          <w:color w:val="000000"/>
        </w:rPr>
      </w:pPr>
      <w:r w:rsidRPr="006F5541">
        <w:rPr>
          <w:rStyle w:val="BoldCharacter"/>
          <w:rFonts w:ascii="Leelawadee UI Semilight" w:hAnsi="Leelawadee UI Semilight"/>
          <w:b w:val="0"/>
          <w:color w:val="000000"/>
        </w:rPr>
        <w:t>The Master Plan sets out the aims and performance criteria for development within the Precinct, to</w:t>
      </w:r>
      <w:r>
        <w:rPr>
          <w:rStyle w:val="BoldCharacter"/>
          <w:rFonts w:ascii="Leelawadee UI Semilight" w:hAnsi="Leelawadee UI Semilight"/>
          <w:b w:val="0"/>
          <w:color w:val="000000"/>
        </w:rPr>
        <w:t xml:space="preserve"> </w:t>
      </w:r>
      <w:r w:rsidRPr="006F5541">
        <w:rPr>
          <w:rStyle w:val="BoldCharacter"/>
          <w:rFonts w:ascii="Leelawadee UI Semilight" w:hAnsi="Leelawadee UI Semilight"/>
          <w:b w:val="0"/>
          <w:color w:val="000000"/>
        </w:rPr>
        <w:t>ensure these principles are realised and provides industry, investors and stakeholders with the</w:t>
      </w:r>
      <w:r>
        <w:rPr>
          <w:rStyle w:val="BoldCharacter"/>
          <w:rFonts w:ascii="Leelawadee UI Semilight" w:hAnsi="Leelawadee UI Semilight"/>
          <w:b w:val="0"/>
          <w:color w:val="000000"/>
        </w:rPr>
        <w:t xml:space="preserve"> </w:t>
      </w:r>
      <w:r w:rsidRPr="006F5541">
        <w:rPr>
          <w:rStyle w:val="BoldCharacter"/>
          <w:rFonts w:ascii="Leelawadee UI Semilight" w:hAnsi="Leelawadee UI Semilight"/>
          <w:b w:val="0"/>
          <w:color w:val="000000"/>
        </w:rPr>
        <w:t>information and requirements to gain an Activation Precinct Certificate for development. These</w:t>
      </w:r>
      <w:r>
        <w:rPr>
          <w:rStyle w:val="BoldCharacter"/>
          <w:rFonts w:ascii="Leelawadee UI Semilight" w:hAnsi="Leelawadee UI Semilight"/>
          <w:b w:val="0"/>
          <w:color w:val="000000"/>
        </w:rPr>
        <w:t xml:space="preserve"> </w:t>
      </w:r>
      <w:r w:rsidRPr="006F5541">
        <w:rPr>
          <w:rStyle w:val="BoldCharacter"/>
          <w:rFonts w:ascii="Leelawadee UI Semilight" w:hAnsi="Leelawadee UI Semilight"/>
          <w:b w:val="0"/>
          <w:color w:val="000000"/>
        </w:rPr>
        <w:t>principles focus on the following key areas:</w:t>
      </w:r>
    </w:p>
    <w:p w14:paraId="56FCE571" w14:textId="12595C5E" w:rsidR="004B4553" w:rsidRDefault="004B4553" w:rsidP="00057D77">
      <w:pPr>
        <w:pStyle w:val="ListBullet"/>
        <w:rPr>
          <w:rStyle w:val="BoldCharacter"/>
          <w:rFonts w:ascii="Leelawadee UI Semilight" w:hAnsi="Leelawadee UI Semilight"/>
          <w:b w:val="0"/>
          <w:color w:val="000000"/>
        </w:rPr>
      </w:pPr>
      <w:r>
        <w:rPr>
          <w:rStyle w:val="BoldCharacter"/>
          <w:rFonts w:ascii="Leelawadee UI Semilight" w:hAnsi="Leelawadee UI Semilight"/>
          <w:b w:val="0"/>
          <w:color w:val="000000"/>
        </w:rPr>
        <w:t>Economic development</w:t>
      </w:r>
    </w:p>
    <w:p w14:paraId="420731ED" w14:textId="015D4159" w:rsidR="004B4553" w:rsidRDefault="004B4553" w:rsidP="00057D77">
      <w:pPr>
        <w:pStyle w:val="ListBullet"/>
        <w:rPr>
          <w:rStyle w:val="BoldCharacter"/>
          <w:rFonts w:ascii="Leelawadee UI Semilight" w:hAnsi="Leelawadee UI Semilight"/>
          <w:b w:val="0"/>
          <w:color w:val="000000"/>
        </w:rPr>
      </w:pPr>
      <w:r>
        <w:rPr>
          <w:rStyle w:val="BoldCharacter"/>
          <w:rFonts w:ascii="Leelawadee UI Semilight" w:hAnsi="Leelawadee UI Semilight"/>
          <w:b w:val="0"/>
          <w:color w:val="000000"/>
        </w:rPr>
        <w:t>Environment and sustainability</w:t>
      </w:r>
    </w:p>
    <w:p w14:paraId="244741EE" w14:textId="202B5B78" w:rsidR="004B4553" w:rsidRDefault="004B4553" w:rsidP="00057D77">
      <w:pPr>
        <w:pStyle w:val="ListBullet"/>
        <w:rPr>
          <w:rStyle w:val="BoldCharacter"/>
          <w:rFonts w:ascii="Leelawadee UI Semilight" w:hAnsi="Leelawadee UI Semilight"/>
          <w:b w:val="0"/>
          <w:color w:val="000000"/>
        </w:rPr>
      </w:pPr>
      <w:r>
        <w:rPr>
          <w:rStyle w:val="BoldCharacter"/>
          <w:rFonts w:ascii="Leelawadee UI Semilight" w:hAnsi="Leelawadee UI Semilight"/>
          <w:b w:val="0"/>
          <w:color w:val="000000"/>
        </w:rPr>
        <w:t>C</w:t>
      </w:r>
      <w:r w:rsidR="002D412A">
        <w:rPr>
          <w:rStyle w:val="BoldCharacter"/>
          <w:rFonts w:ascii="Leelawadee UI Semilight" w:hAnsi="Leelawadee UI Semilight"/>
          <w:b w:val="0"/>
          <w:color w:val="000000"/>
        </w:rPr>
        <w:t>ommunity</w:t>
      </w:r>
    </w:p>
    <w:p w14:paraId="43019F52" w14:textId="47277CB3" w:rsidR="002D412A" w:rsidRDefault="002D412A" w:rsidP="00057D77">
      <w:pPr>
        <w:pStyle w:val="ListBullet"/>
        <w:rPr>
          <w:rStyle w:val="BoldCharacter"/>
          <w:rFonts w:ascii="Leelawadee UI Semilight" w:hAnsi="Leelawadee UI Semilight"/>
          <w:b w:val="0"/>
          <w:color w:val="000000"/>
        </w:rPr>
      </w:pPr>
      <w:r>
        <w:rPr>
          <w:rStyle w:val="BoldCharacter"/>
          <w:rFonts w:ascii="Leelawadee UI Semilight" w:hAnsi="Leelawadee UI Semilight"/>
          <w:b w:val="0"/>
          <w:color w:val="000000"/>
        </w:rPr>
        <w:t>Infrastructure</w:t>
      </w:r>
    </w:p>
    <w:p w14:paraId="2FBE280A" w14:textId="3F705E7B" w:rsidR="002D412A" w:rsidRDefault="002D412A" w:rsidP="002D412A">
      <w:pPr>
        <w:pStyle w:val="ListBullet"/>
        <w:rPr>
          <w:rStyle w:val="BoldCharacter"/>
          <w:rFonts w:ascii="Leelawadee UI Semilight" w:hAnsi="Leelawadee UI Semilight"/>
          <w:b w:val="0"/>
          <w:color w:val="000000"/>
        </w:rPr>
      </w:pPr>
      <w:r>
        <w:rPr>
          <w:rStyle w:val="BoldCharacter"/>
          <w:rFonts w:ascii="Leelawadee UI Semilight" w:hAnsi="Leelawadee UI Semilight"/>
          <w:b w:val="0"/>
          <w:color w:val="000000"/>
        </w:rPr>
        <w:t>Place and landscape</w:t>
      </w:r>
    </w:p>
    <w:p w14:paraId="5D4B3603" w14:textId="35A14724" w:rsidR="00DB7538" w:rsidRDefault="00DB7538" w:rsidP="00057D77">
      <w:pPr>
        <w:pStyle w:val="ListBullet"/>
        <w:numPr>
          <w:ilvl w:val="0"/>
          <w:numId w:val="0"/>
        </w:numPr>
        <w:rPr>
          <w:rStyle w:val="BoldCharacter"/>
          <w:rFonts w:ascii="Leelawadee UI Semilight" w:hAnsi="Leelawadee UI Semilight"/>
          <w:b w:val="0"/>
          <w:color w:val="000000"/>
        </w:rPr>
      </w:pPr>
      <w:r>
        <w:rPr>
          <w:rStyle w:val="BoldCharacter"/>
          <w:rFonts w:ascii="Leelawadee UI Semilight" w:hAnsi="Leelawadee UI Semilight"/>
          <w:b w:val="0"/>
          <w:color w:val="000000"/>
        </w:rPr>
        <w:t>The master</w:t>
      </w:r>
      <w:r w:rsidR="00AB18E3">
        <w:rPr>
          <w:rStyle w:val="BoldCharacter"/>
          <w:rFonts w:ascii="Leelawadee UI Semilight" w:hAnsi="Leelawadee UI Semilight"/>
          <w:b w:val="0"/>
          <w:color w:val="000000"/>
        </w:rPr>
        <w:t xml:space="preserve"> p</w:t>
      </w:r>
      <w:r>
        <w:rPr>
          <w:rStyle w:val="BoldCharacter"/>
          <w:rFonts w:ascii="Leelawadee UI Semilight" w:hAnsi="Leelawadee UI Semilight"/>
          <w:b w:val="0"/>
          <w:color w:val="000000"/>
        </w:rPr>
        <w:t>lan Structure Plan (</w:t>
      </w:r>
      <w:r w:rsidRPr="0033059D">
        <w:rPr>
          <w:rStyle w:val="BoldCharacter"/>
        </w:rPr>
        <w:t xml:space="preserve">Figure </w:t>
      </w:r>
      <w:r w:rsidR="005C274F" w:rsidRPr="0033059D">
        <w:rPr>
          <w:rStyle w:val="BoldCharacter"/>
        </w:rPr>
        <w:t>6.2</w:t>
      </w:r>
      <w:r w:rsidR="005C274F">
        <w:rPr>
          <w:rStyle w:val="BoldCharacter"/>
          <w:rFonts w:ascii="Leelawadee UI Semilight" w:hAnsi="Leelawadee UI Semilight"/>
          <w:b w:val="0"/>
          <w:color w:val="000000"/>
        </w:rPr>
        <w:t xml:space="preserve">) for the Parkes </w:t>
      </w:r>
      <w:r w:rsidR="00AB18E3">
        <w:rPr>
          <w:rStyle w:val="BoldCharacter"/>
          <w:rFonts w:ascii="Leelawadee UI Semilight" w:hAnsi="Leelawadee UI Semilight"/>
          <w:b w:val="0"/>
          <w:color w:val="000000"/>
        </w:rPr>
        <w:t xml:space="preserve">Precinct </w:t>
      </w:r>
      <w:r w:rsidR="005C274F">
        <w:rPr>
          <w:rStyle w:val="BoldCharacter"/>
          <w:rFonts w:ascii="Leelawadee UI Semilight" w:hAnsi="Leelawadee UI Semilight"/>
          <w:b w:val="0"/>
          <w:color w:val="000000"/>
        </w:rPr>
        <w:t xml:space="preserve">identifies the anticipated land uses within the </w:t>
      </w:r>
      <w:r w:rsidR="00AB18E3">
        <w:rPr>
          <w:rStyle w:val="BoldCharacter"/>
          <w:rFonts w:ascii="Leelawadee UI Semilight" w:hAnsi="Leelawadee UI Semilight"/>
          <w:b w:val="0"/>
          <w:color w:val="000000"/>
        </w:rPr>
        <w:t>Precinct</w:t>
      </w:r>
      <w:r w:rsidR="005C274F">
        <w:rPr>
          <w:rStyle w:val="BoldCharacter"/>
          <w:rFonts w:ascii="Leelawadee UI Semilight" w:hAnsi="Leelawadee UI Semilight"/>
          <w:b w:val="0"/>
          <w:color w:val="000000"/>
        </w:rPr>
        <w:t xml:space="preserve">, potential location </w:t>
      </w:r>
      <w:r w:rsidR="00D05574">
        <w:rPr>
          <w:rStyle w:val="BoldCharacter"/>
          <w:rFonts w:ascii="Leelawadee UI Semilight" w:hAnsi="Leelawadee UI Semilight"/>
          <w:b w:val="0"/>
          <w:color w:val="000000"/>
        </w:rPr>
        <w:t>for the intermodal</w:t>
      </w:r>
      <w:r w:rsidR="0033059D">
        <w:rPr>
          <w:rStyle w:val="BoldCharacter"/>
          <w:rFonts w:ascii="Leelawadee UI Semilight" w:hAnsi="Leelawadee UI Semilight"/>
          <w:b w:val="0"/>
          <w:color w:val="000000"/>
        </w:rPr>
        <w:t xml:space="preserve"> and rail terminal facility area and new and upgraded infrastructure required to support delivery of the </w:t>
      </w:r>
      <w:r w:rsidR="00AB18E3">
        <w:rPr>
          <w:rStyle w:val="BoldCharacter"/>
          <w:rFonts w:ascii="Leelawadee UI Semilight" w:hAnsi="Leelawadee UI Semilight"/>
          <w:b w:val="0"/>
          <w:color w:val="000000"/>
        </w:rPr>
        <w:t>Precinct</w:t>
      </w:r>
      <w:r w:rsidR="0033059D">
        <w:rPr>
          <w:rStyle w:val="BoldCharacter"/>
          <w:rFonts w:ascii="Leelawadee UI Semilight" w:hAnsi="Leelawadee UI Semilight"/>
          <w:b w:val="0"/>
          <w:color w:val="000000"/>
        </w:rPr>
        <w:t>.</w:t>
      </w:r>
    </w:p>
    <w:p w14:paraId="5564D794" w14:textId="6B613940" w:rsidR="006E3BF4" w:rsidRPr="009D3B1C" w:rsidRDefault="007C2F35" w:rsidP="009D3B1C">
      <w:pPr>
        <w:pStyle w:val="Caption"/>
        <w:spacing w:after="0"/>
        <w:rPr>
          <w:rStyle w:val="BoldCharacter"/>
          <w:rFonts w:ascii="Leelawadee UI Semilight" w:hAnsi="Leelawadee UI Semilight"/>
          <w:color w:val="000000"/>
        </w:rPr>
      </w:pPr>
      <w:r w:rsidRPr="009D3B1C">
        <w:lastRenderedPageBreak/>
        <w:t>Figure 6.</w:t>
      </w:r>
      <w:fldSimple w:instr=" SEQ Figure \* ARABIC ">
        <w:r w:rsidR="003C6AA3">
          <w:rPr>
            <w:noProof/>
          </w:rPr>
          <w:t>2</w:t>
        </w:r>
      </w:fldSimple>
      <w:r w:rsidRPr="009D3B1C">
        <w:t xml:space="preserve">: </w:t>
      </w:r>
      <w:r w:rsidR="00032767" w:rsidRPr="009D3B1C">
        <w:t>Parkes Special Activation Precinct Structure Plan</w:t>
      </w:r>
    </w:p>
    <w:p w14:paraId="4C81DC1A" w14:textId="788F02BB" w:rsidR="006E3BF4" w:rsidRDefault="006E3BF4" w:rsidP="00015E61">
      <w:pPr>
        <w:pStyle w:val="BodyText"/>
        <w:spacing w:before="0" w:after="0"/>
        <w:rPr>
          <w:noProof/>
        </w:rPr>
      </w:pPr>
      <w:r w:rsidRPr="006E3BF4">
        <w:rPr>
          <w:rStyle w:val="BoldCharacter"/>
          <w:rFonts w:ascii="Leelawadee UI Semilight" w:hAnsi="Leelawadee UI Semilight"/>
          <w:b w:val="0"/>
          <w:noProof/>
          <w:color w:val="000000"/>
        </w:rPr>
        <w:drawing>
          <wp:inline distT="0" distB="0" distL="0" distR="0" wp14:anchorId="1DF80EA1" wp14:editId="376B505A">
            <wp:extent cx="5178774" cy="5708650"/>
            <wp:effectExtent l="0" t="0" r="3175" b="6350"/>
            <wp:docPr id="205424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45674" name=""/>
                    <pic:cNvPicPr/>
                  </pic:nvPicPr>
                  <pic:blipFill>
                    <a:blip r:embed="rId13"/>
                    <a:stretch>
                      <a:fillRect/>
                    </a:stretch>
                  </pic:blipFill>
                  <pic:spPr>
                    <a:xfrm>
                      <a:off x="0" y="0"/>
                      <a:ext cx="5181730" cy="5711909"/>
                    </a:xfrm>
                    <a:prstGeom prst="rect">
                      <a:avLst/>
                    </a:prstGeom>
                  </pic:spPr>
                </pic:pic>
              </a:graphicData>
            </a:graphic>
          </wp:inline>
        </w:drawing>
      </w:r>
    </w:p>
    <w:p w14:paraId="1C747783" w14:textId="25453554" w:rsidR="002040A7" w:rsidRPr="00057D77" w:rsidRDefault="00523E99" w:rsidP="00015E61">
      <w:pPr>
        <w:pStyle w:val="BodyText"/>
        <w:spacing w:before="0"/>
        <w:rPr>
          <w:rStyle w:val="BoldCharacter"/>
          <w:rFonts w:ascii="Leelawadee UI Semilight" w:hAnsi="Leelawadee UI Semilight"/>
          <w:b w:val="0"/>
          <w:color w:val="000000"/>
        </w:rPr>
      </w:pPr>
      <w:r w:rsidRPr="00523E99">
        <w:rPr>
          <w:rStyle w:val="BoldCharacter"/>
          <w:rFonts w:ascii="Leelawadee UI Semilight" w:hAnsi="Leelawadee UI Semilight"/>
          <w:b w:val="0"/>
          <w:noProof/>
          <w:color w:val="000000"/>
        </w:rPr>
        <w:drawing>
          <wp:inline distT="0" distB="0" distL="0" distR="0" wp14:anchorId="6B1B9C4C" wp14:editId="3EE5BA32">
            <wp:extent cx="5399405" cy="1133475"/>
            <wp:effectExtent l="0" t="0" r="0" b="9525"/>
            <wp:docPr id="443553066"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53066" name="Picture 1" descr="A close-up of a white background&#10;&#10;Description automatically generated"/>
                    <pic:cNvPicPr/>
                  </pic:nvPicPr>
                  <pic:blipFill>
                    <a:blip r:embed="rId14"/>
                    <a:stretch>
                      <a:fillRect/>
                    </a:stretch>
                  </pic:blipFill>
                  <pic:spPr>
                    <a:xfrm>
                      <a:off x="0" y="0"/>
                      <a:ext cx="5399405" cy="1133475"/>
                    </a:xfrm>
                    <a:prstGeom prst="rect">
                      <a:avLst/>
                    </a:prstGeom>
                  </pic:spPr>
                </pic:pic>
              </a:graphicData>
            </a:graphic>
          </wp:inline>
        </w:drawing>
      </w:r>
    </w:p>
    <w:p w14:paraId="2D634C2F" w14:textId="16D04A35" w:rsidR="002F49B4" w:rsidRPr="00057D77" w:rsidRDefault="002F49B4" w:rsidP="005C4A1D">
      <w:pPr>
        <w:pStyle w:val="BodyText"/>
        <w:rPr>
          <w:rStyle w:val="BoldCharacter"/>
        </w:rPr>
      </w:pPr>
      <w:r w:rsidRPr="00057D77">
        <w:rPr>
          <w:rStyle w:val="BoldCharacter"/>
        </w:rPr>
        <w:t>A 20-Year Economic Vision for Regional NSW (2018)</w:t>
      </w:r>
    </w:p>
    <w:bookmarkEnd w:id="10"/>
    <w:p w14:paraId="5CF7ED31" w14:textId="0CBCDDC5" w:rsidR="002F49B4" w:rsidRPr="00057D77" w:rsidRDefault="002F49B4" w:rsidP="0007264C">
      <w:pPr>
        <w:pStyle w:val="BodyText"/>
      </w:pPr>
      <w:r w:rsidRPr="00057D77">
        <w:t xml:space="preserve">In 2018, the NSW Government released A 20-Year Economic Vision for Regional NSW which sets out a broad vision and economic strategy for </w:t>
      </w:r>
      <w:proofErr w:type="gramStart"/>
      <w:r w:rsidRPr="00057D77">
        <w:t>all of</w:t>
      </w:r>
      <w:proofErr w:type="gramEnd"/>
      <w:r w:rsidRPr="00057D77">
        <w:t xml:space="preserve"> regional NSW, except the metropolitan areas of Greater Sydney, Newcastle and Wollongong. The strategy document observed that regional NSW is Australia’s largest and most diverse regional economy. It is rich with natural resources, is home to a third of the state’s population and produces one-fifth of NSW’s gross state product. </w:t>
      </w:r>
    </w:p>
    <w:p w14:paraId="1B9158BF" w14:textId="2CB5CADD" w:rsidR="002F49B4" w:rsidRPr="00057D77" w:rsidRDefault="002F49B4" w:rsidP="00AF73E7">
      <w:pPr>
        <w:pStyle w:val="BodyText"/>
      </w:pPr>
      <w:r w:rsidRPr="00057D77">
        <w:lastRenderedPageBreak/>
        <w:t xml:space="preserve">The strategy categorises regional NSW into 37 functional economic regions (FERs). </w:t>
      </w:r>
      <w:r w:rsidR="00A122EA">
        <w:t>Forbes, Lachlan</w:t>
      </w:r>
      <w:r w:rsidR="00F13B33">
        <w:t xml:space="preserve"> </w:t>
      </w:r>
      <w:r w:rsidR="00A122EA">
        <w:t>and Parkes</w:t>
      </w:r>
      <w:r w:rsidRPr="00057D77">
        <w:t xml:space="preserve"> LGAs, </w:t>
      </w:r>
      <w:r w:rsidR="00A122EA">
        <w:t xml:space="preserve">are </w:t>
      </w:r>
      <w:r w:rsidRPr="00057D77">
        <w:t xml:space="preserve">located within the </w:t>
      </w:r>
      <w:r w:rsidR="00A122EA">
        <w:t>Mid-Lachlan</w:t>
      </w:r>
      <w:r w:rsidRPr="00057D77">
        <w:t xml:space="preserve"> FER and has been identified a ‘</w:t>
      </w:r>
      <w:r w:rsidR="00CB6839">
        <w:t>Inland</w:t>
      </w:r>
      <w:r w:rsidRPr="00057D77">
        <w:t>’ d</w:t>
      </w:r>
      <w:r w:rsidR="00AF73E7">
        <w:t xml:space="preserve">ue to being located beyond the Coastal and Metro Satellite areas, between and around Growth Centres. </w:t>
      </w:r>
      <w:r w:rsidR="008C6228">
        <w:t>These areas are</w:t>
      </w:r>
      <w:r w:rsidR="00AF73E7">
        <w:t xml:space="preserve"> rural in character and have small, stable populations. Agribusiness and forestry are the main engine</w:t>
      </w:r>
      <w:r w:rsidR="008C6228">
        <w:t xml:space="preserve"> </w:t>
      </w:r>
      <w:r w:rsidR="00AF73E7">
        <w:t>industries, employing more than 22 per cent of the overall workforce.</w:t>
      </w:r>
    </w:p>
    <w:p w14:paraId="2897FB15" w14:textId="785CFD24" w:rsidR="002F49B4" w:rsidRPr="00057D77" w:rsidRDefault="002F49B4" w:rsidP="00057D77">
      <w:pPr>
        <w:pStyle w:val="ListBullet"/>
      </w:pPr>
      <w:r w:rsidRPr="00057D77">
        <w:t>The 20-year strategy has three core objectives:</w:t>
      </w:r>
    </w:p>
    <w:p w14:paraId="5D8C8D3E" w14:textId="278DEA57" w:rsidR="002F49B4" w:rsidRPr="00057D77" w:rsidRDefault="002F49B4" w:rsidP="00057D77">
      <w:pPr>
        <w:pStyle w:val="ListBullet"/>
      </w:pPr>
      <w:r w:rsidRPr="00057D77">
        <w:t>Amenity – to provide quality services and infrastructure in regional NSW</w:t>
      </w:r>
    </w:p>
    <w:p w14:paraId="179F3E48" w14:textId="1E76E9C6" w:rsidR="002F49B4" w:rsidRPr="00057D77" w:rsidRDefault="002F49B4" w:rsidP="00057D77">
      <w:pPr>
        <w:pStyle w:val="ListBullet"/>
      </w:pPr>
      <w:r w:rsidRPr="00057D77">
        <w:t>Growth – to align policies to support growth in regional centres</w:t>
      </w:r>
    </w:p>
    <w:p w14:paraId="7FB77131" w14:textId="0D2AF038" w:rsidR="002F49B4" w:rsidRPr="00057D77" w:rsidRDefault="002F49B4" w:rsidP="00057D77">
      <w:pPr>
        <w:pStyle w:val="ListBullet"/>
      </w:pPr>
      <w:r w:rsidRPr="00057D77">
        <w:t>Potential – to identify and activate economic potential in regional NSW.</w:t>
      </w:r>
    </w:p>
    <w:p w14:paraId="51D892A7" w14:textId="731BDE68" w:rsidR="0007264C" w:rsidRDefault="002F49B4" w:rsidP="0007264C">
      <w:pPr>
        <w:pStyle w:val="BodyText"/>
      </w:pPr>
      <w:r w:rsidRPr="00057D77">
        <w:t>The priorities set out in the Vision statement complement other NSW initiatives already committed and recommended under other government strategies and long-term plans, such as the Future Transport Strategy 2056</w:t>
      </w:r>
      <w:r w:rsidR="00CC32FD">
        <w:t xml:space="preserve"> and </w:t>
      </w:r>
      <w:r w:rsidRPr="00057D77">
        <w:t>NSW State Infrastructure Strategy</w:t>
      </w:r>
      <w:r w:rsidR="00CC32FD">
        <w:t>.</w:t>
      </w:r>
    </w:p>
    <w:p w14:paraId="61846AEA" w14:textId="034A2D00" w:rsidR="005432DF" w:rsidRPr="00394ADE" w:rsidRDefault="005432DF" w:rsidP="005432DF">
      <w:pPr>
        <w:pStyle w:val="BodyText"/>
        <w:rPr>
          <w:rStyle w:val="BoldCharacter"/>
        </w:rPr>
      </w:pPr>
      <w:r>
        <w:rPr>
          <w:rStyle w:val="BoldCharacter"/>
        </w:rPr>
        <w:t>Mid-Lachlan: Regional Economic Development Strategy</w:t>
      </w:r>
      <w:r w:rsidRPr="00394ADE">
        <w:rPr>
          <w:rStyle w:val="BoldCharacter"/>
        </w:rPr>
        <w:t xml:space="preserve"> (2018)</w:t>
      </w:r>
    </w:p>
    <w:p w14:paraId="4A9A0A88" w14:textId="7CE98581" w:rsidR="00F13B33" w:rsidRDefault="00F13B33" w:rsidP="00F13B33">
      <w:pPr>
        <w:pStyle w:val="BodyText"/>
      </w:pPr>
      <w:r>
        <w:t>The NSW Government with the Centre for Economic and Regional Development has also worked with Local Councils across Regional NSW to develop Regional Economic Development Strategies.</w:t>
      </w:r>
    </w:p>
    <w:p w14:paraId="579D2FE6" w14:textId="4B0C4ADF" w:rsidR="005432DF" w:rsidRDefault="00F13B33" w:rsidP="00F13B33">
      <w:pPr>
        <w:pStyle w:val="BodyText"/>
      </w:pPr>
      <w:r>
        <w:t xml:space="preserve">The </w:t>
      </w:r>
      <w:r w:rsidR="00D63663">
        <w:t>Mid Lachlan</w:t>
      </w:r>
      <w:r>
        <w:t xml:space="preserve"> Regional Economic Development Strategy 2018–2022 sets out a long-term economic vision and associated strategy for the Region’s economic development for the three LGAs of </w:t>
      </w:r>
      <w:r w:rsidRPr="00F13B33">
        <w:t xml:space="preserve">Forbes, Lachlan and Parkes </w:t>
      </w:r>
      <w:r>
        <w:t>Shire (the Region). The Strategy aims to leverage on the Region’s endowments, including:</w:t>
      </w:r>
    </w:p>
    <w:p w14:paraId="35F92799" w14:textId="697E5973" w:rsidR="007523F9" w:rsidRDefault="007523F9" w:rsidP="00057D77">
      <w:pPr>
        <w:pStyle w:val="ListBullet"/>
      </w:pPr>
      <w:r>
        <w:t>Optimise and grow agriculture by improving supply chain efficiency and quality, market access and communication</w:t>
      </w:r>
    </w:p>
    <w:p w14:paraId="30E3187D" w14:textId="1B03897B" w:rsidR="007523F9" w:rsidRDefault="007523F9" w:rsidP="00057D77">
      <w:pPr>
        <w:pStyle w:val="ListBullet"/>
      </w:pPr>
      <w:r>
        <w:t>Providing opportunities to expand current and future mining operations</w:t>
      </w:r>
    </w:p>
    <w:p w14:paraId="147D726C" w14:textId="72219396" w:rsidR="007523F9" w:rsidRDefault="007523F9" w:rsidP="00057D77">
      <w:pPr>
        <w:pStyle w:val="ListBullet"/>
      </w:pPr>
      <w:r>
        <w:t>Improve water security constraints for the agriculture, mining, manufacturing and tourism industries</w:t>
      </w:r>
    </w:p>
    <w:p w14:paraId="646BA493" w14:textId="705CB6A1" w:rsidR="007523F9" w:rsidRDefault="007523F9" w:rsidP="00057D77">
      <w:pPr>
        <w:pStyle w:val="ListBullet"/>
      </w:pPr>
      <w:r>
        <w:t>Improve the availability of skilled labour for high value mining, construction, transport and manufacturing industries</w:t>
      </w:r>
    </w:p>
    <w:p w14:paraId="7369C1B4" w14:textId="5571F9DE" w:rsidR="007523F9" w:rsidRDefault="007523F9" w:rsidP="00057D77">
      <w:pPr>
        <w:pStyle w:val="ListBullet"/>
      </w:pPr>
      <w:r>
        <w:t>Improve access to markets for agriculture, mining and manufacturing by investing in intermodal network resilience and reliability</w:t>
      </w:r>
    </w:p>
    <w:p w14:paraId="59B790CF" w14:textId="1DD8790A" w:rsidR="007523F9" w:rsidRDefault="007523F9" w:rsidP="007523F9">
      <w:pPr>
        <w:pStyle w:val="ListBullet"/>
      </w:pPr>
      <w:r>
        <w:t>Grow tourism in the Mid-Lachlan to diversify the economy.</w:t>
      </w:r>
    </w:p>
    <w:p w14:paraId="29F941AD" w14:textId="031DDB40" w:rsidR="00D63663" w:rsidRPr="00057D77" w:rsidRDefault="00D63663" w:rsidP="00057D77">
      <w:pPr>
        <w:pStyle w:val="BodyText"/>
        <w:rPr>
          <w:rStyle w:val="BoldCharacter"/>
        </w:rPr>
      </w:pPr>
      <w:r w:rsidRPr="00057D77">
        <w:rPr>
          <w:rStyle w:val="BoldCharacter"/>
        </w:rPr>
        <w:t>Parkes Local Strategic Planning Statement</w:t>
      </w:r>
      <w:r w:rsidR="0039151B" w:rsidRPr="00057D77">
        <w:rPr>
          <w:rStyle w:val="BoldCharacter"/>
        </w:rPr>
        <w:t xml:space="preserve"> (2020)</w:t>
      </w:r>
    </w:p>
    <w:p w14:paraId="7CD27ADA" w14:textId="723A9D5C" w:rsidR="0039151B" w:rsidRDefault="00C703AA" w:rsidP="00C703AA">
      <w:pPr>
        <w:pStyle w:val="ListBullet"/>
        <w:numPr>
          <w:ilvl w:val="0"/>
          <w:numId w:val="0"/>
        </w:numPr>
      </w:pPr>
      <w:r>
        <w:t>The Parkes Local Strategic Planning Statement set out the long-term strategic framework for planning and development in the Parkes local government area over the next 20-years.</w:t>
      </w:r>
    </w:p>
    <w:p w14:paraId="096B0E06" w14:textId="24F41AFE" w:rsidR="000D7AA1" w:rsidRDefault="000D7AA1" w:rsidP="00057D77">
      <w:pPr>
        <w:pStyle w:val="ListBullet"/>
        <w:numPr>
          <w:ilvl w:val="0"/>
          <w:numId w:val="0"/>
        </w:numPr>
      </w:pPr>
      <w:r>
        <w:t>It addresses issues of strategic significance to the Council, guiding development or introduction of new planning policies, strategies or actions related to land use and development.</w:t>
      </w:r>
    </w:p>
    <w:p w14:paraId="296B103E" w14:textId="74D416F3" w:rsidR="000D7AA1" w:rsidRDefault="000D7AA1" w:rsidP="00057D77">
      <w:pPr>
        <w:pStyle w:val="ListBullet"/>
        <w:numPr>
          <w:ilvl w:val="0"/>
          <w:numId w:val="0"/>
        </w:numPr>
      </w:pPr>
      <w:r>
        <w:lastRenderedPageBreak/>
        <w:t>Of relevance to</w:t>
      </w:r>
      <w:r w:rsidR="004338FF">
        <w:t xml:space="preserve"> </w:t>
      </w:r>
      <w:r>
        <w:t xml:space="preserve">this </w:t>
      </w:r>
      <w:r w:rsidR="00AB18E3">
        <w:t>A</w:t>
      </w:r>
      <w:r>
        <w:t>ppendix is Council’s objective to grow business investment with the Strategy</w:t>
      </w:r>
      <w:r w:rsidR="00C963F7">
        <w:t xml:space="preserve"> </w:t>
      </w:r>
      <w:r>
        <w:t xml:space="preserve">acknowledging that the </w:t>
      </w:r>
      <w:r w:rsidR="00A86BCC">
        <w:t>Precinct</w:t>
      </w:r>
      <w:r>
        <w:t xml:space="preserve"> will </w:t>
      </w:r>
      <w:r w:rsidR="000D5F73">
        <w:t>facilitate the establishment of</w:t>
      </w:r>
      <w:r w:rsidR="00270D8F">
        <w:t xml:space="preserve"> Parkes </w:t>
      </w:r>
      <w:r w:rsidR="00484527">
        <w:t>N</w:t>
      </w:r>
      <w:r w:rsidR="00270D8F">
        <w:t xml:space="preserve">ational </w:t>
      </w:r>
      <w:r w:rsidR="00484527">
        <w:t>L</w:t>
      </w:r>
      <w:r w:rsidR="00270D8F">
        <w:t>ogistic</w:t>
      </w:r>
      <w:r w:rsidR="00096C77">
        <w:t>s</w:t>
      </w:r>
      <w:r w:rsidR="00270D8F">
        <w:t xml:space="preserve"> </w:t>
      </w:r>
      <w:r w:rsidR="00484527">
        <w:t>H</w:t>
      </w:r>
      <w:r w:rsidR="00270D8F">
        <w:t>ub</w:t>
      </w:r>
      <w:r w:rsidR="00C22039">
        <w:t>. New business opportunities are anticipated</w:t>
      </w:r>
      <w:r w:rsidR="00D235CF">
        <w:t xml:space="preserve"> from </w:t>
      </w:r>
      <w:r w:rsidR="009F7A5E">
        <w:t>Parkes being establish</w:t>
      </w:r>
      <w:r w:rsidR="00B502F6">
        <w:t>ed as a</w:t>
      </w:r>
      <w:r w:rsidR="000D5F73">
        <w:t xml:space="preserve"> centre of a national freight network</w:t>
      </w:r>
      <w:r w:rsidR="00B502F6">
        <w:t xml:space="preserve"> </w:t>
      </w:r>
      <w:r w:rsidR="00B01DE5">
        <w:t>including</w:t>
      </w:r>
      <w:r>
        <w:t xml:space="preserve"> value added </w:t>
      </w:r>
      <w:r w:rsidR="00C963F7">
        <w:t>agricultural products</w:t>
      </w:r>
      <w:r w:rsidR="00AB18E3">
        <w:t>;</w:t>
      </w:r>
      <w:r w:rsidR="00C963F7">
        <w:t xml:space="preserve"> </w:t>
      </w:r>
      <w:r>
        <w:t>manufacturing</w:t>
      </w:r>
      <w:r w:rsidR="00AB18E3">
        <w:t>;</w:t>
      </w:r>
      <w:r>
        <w:t xml:space="preserve"> </w:t>
      </w:r>
      <w:r w:rsidR="00D235CF">
        <w:t>mining</w:t>
      </w:r>
      <w:r w:rsidR="00AB18E3">
        <w:t>;</w:t>
      </w:r>
      <w:r w:rsidR="00D235CF">
        <w:t xml:space="preserve"> circular economy</w:t>
      </w:r>
      <w:r w:rsidR="00B502F6">
        <w:t xml:space="preserve"> and</w:t>
      </w:r>
      <w:r w:rsidR="00D235CF">
        <w:t xml:space="preserve"> </w:t>
      </w:r>
      <w:r>
        <w:t>freight distribution</w:t>
      </w:r>
      <w:r w:rsidR="00B502F6">
        <w:t>.</w:t>
      </w:r>
    </w:p>
    <w:p w14:paraId="66C19DD8" w14:textId="247F45B3" w:rsidR="000D7AA1" w:rsidRDefault="000D7AA1" w:rsidP="00057D77">
      <w:pPr>
        <w:pStyle w:val="ListBullet"/>
        <w:numPr>
          <w:ilvl w:val="0"/>
          <w:numId w:val="0"/>
        </w:numPr>
      </w:pPr>
      <w:r>
        <w:t xml:space="preserve">The Strategy also acknowledges </w:t>
      </w:r>
      <w:r w:rsidR="00C52E86">
        <w:t xml:space="preserve">that the strategic importance of Parkes will increase over the next decade as the new </w:t>
      </w:r>
      <w:r>
        <w:t>Inland Rail project</w:t>
      </w:r>
      <w:r w:rsidR="00D469AC">
        <w:t xml:space="preserve"> </w:t>
      </w:r>
      <w:r w:rsidR="00C52E86">
        <w:t>is development.</w:t>
      </w:r>
      <w:r w:rsidR="00D469AC">
        <w:t xml:space="preserve"> Parkes Newell Highway Upgrade</w:t>
      </w:r>
      <w:r>
        <w:t xml:space="preserve"> will </w:t>
      </w:r>
      <w:r w:rsidR="00224ACB">
        <w:t xml:space="preserve">also </w:t>
      </w:r>
      <w:r>
        <w:t>support employment and investment growth for the future. These</w:t>
      </w:r>
      <w:r w:rsidR="00A85B24">
        <w:t xml:space="preserve"> </w:t>
      </w:r>
      <w:r>
        <w:t xml:space="preserve">connections integrate </w:t>
      </w:r>
      <w:r w:rsidR="00A85B24">
        <w:t>Parkes</w:t>
      </w:r>
      <w:r>
        <w:t xml:space="preserve"> as </w:t>
      </w:r>
      <w:r w:rsidR="00224ACB">
        <w:t>a</w:t>
      </w:r>
      <w:r>
        <w:t xml:space="preserve"> key location in </w:t>
      </w:r>
      <w:r w:rsidR="0027148F">
        <w:t xml:space="preserve">inland </w:t>
      </w:r>
      <w:r>
        <w:t>New South Wales, directly</w:t>
      </w:r>
      <w:r w:rsidR="00A85B24">
        <w:t xml:space="preserve"> </w:t>
      </w:r>
      <w:r>
        <w:t>linking the city to all major centres of eastern and central Australia.</w:t>
      </w:r>
    </w:p>
    <w:p w14:paraId="5E175F32" w14:textId="0187C34D" w:rsidR="000D7AA1" w:rsidRPr="002F49B4" w:rsidRDefault="000D7AA1" w:rsidP="00057D77">
      <w:pPr>
        <w:pStyle w:val="ListBullet"/>
        <w:numPr>
          <w:ilvl w:val="0"/>
          <w:numId w:val="0"/>
        </w:numPr>
      </w:pPr>
      <w:r>
        <w:t xml:space="preserve">This will allow </w:t>
      </w:r>
      <w:r w:rsidR="0027148F">
        <w:t>Parkes</w:t>
      </w:r>
      <w:r>
        <w:t xml:space="preserve"> to take advantage of economic trends and opportunities in the coming</w:t>
      </w:r>
      <w:r w:rsidR="00A85B24">
        <w:t xml:space="preserve"> </w:t>
      </w:r>
      <w:r>
        <w:t xml:space="preserve">years. </w:t>
      </w:r>
      <w:r w:rsidR="0027148F">
        <w:t>Parkes’</w:t>
      </w:r>
      <w:r>
        <w:t xml:space="preserve"> increasing interconnectedness to national and global networks will attract</w:t>
      </w:r>
      <w:r w:rsidR="0027148F">
        <w:t xml:space="preserve"> </w:t>
      </w:r>
      <w:r>
        <w:t>increased movements and freight volumes to and from the city.</w:t>
      </w:r>
    </w:p>
    <w:p w14:paraId="20B0B43D" w14:textId="06560E9D" w:rsidR="00F02612" w:rsidRDefault="00F02612" w:rsidP="00057D77">
      <w:pPr>
        <w:pStyle w:val="AppendixSubHeading"/>
      </w:pPr>
      <w:bookmarkStart w:id="11" w:name="_Ref146103161"/>
      <w:r>
        <w:t>Expected development</w:t>
      </w:r>
      <w:bookmarkEnd w:id="11"/>
    </w:p>
    <w:p w14:paraId="2B0B4199" w14:textId="59D91183" w:rsidR="00487C76" w:rsidRPr="00487C76" w:rsidRDefault="00487C76" w:rsidP="00487C76">
      <w:pPr>
        <w:rPr>
          <w:color w:val="auto"/>
        </w:rPr>
      </w:pPr>
      <w:r w:rsidRPr="00487C76">
        <w:rPr>
          <w:color w:val="auto"/>
        </w:rPr>
        <w:t>An economic and industry analysis report was prepared by SGS Economics and Planning in 2019 to support the development of the Parkes S</w:t>
      </w:r>
      <w:r w:rsidR="00AB18E3">
        <w:rPr>
          <w:color w:val="auto"/>
        </w:rPr>
        <w:t>pecial Activation Precinct</w:t>
      </w:r>
      <w:r w:rsidRPr="00487C76">
        <w:rPr>
          <w:color w:val="auto"/>
        </w:rPr>
        <w:t xml:space="preserve"> Master Plan.</w:t>
      </w:r>
    </w:p>
    <w:p w14:paraId="69E05595" w14:textId="152C5625" w:rsidR="00487C76" w:rsidRPr="00487C76" w:rsidRDefault="008C17B8" w:rsidP="00487C76">
      <w:pPr>
        <w:rPr>
          <w:color w:val="auto"/>
        </w:rPr>
      </w:pPr>
      <w:r>
        <w:rPr>
          <w:color w:val="auto"/>
        </w:rPr>
        <w:t xml:space="preserve">In its report, </w:t>
      </w:r>
      <w:r w:rsidR="00487C76" w:rsidRPr="00487C76">
        <w:rPr>
          <w:color w:val="auto"/>
        </w:rPr>
        <w:t xml:space="preserve">SGS: </w:t>
      </w:r>
    </w:p>
    <w:p w14:paraId="5E402E83" w14:textId="4CFD259C" w:rsidR="00487C76" w:rsidRPr="00487C76" w:rsidRDefault="00487C76" w:rsidP="00B23121">
      <w:pPr>
        <w:pStyle w:val="ListBullet"/>
      </w:pPr>
      <w:r w:rsidRPr="00487C76">
        <w:t>Develop</w:t>
      </w:r>
      <w:r w:rsidR="008B2BE9">
        <w:t>ed</w:t>
      </w:r>
      <w:r w:rsidRPr="00487C76">
        <w:t xml:space="preserve"> three growth scenarios to test the take up and employment generation potential of the Parkes </w:t>
      </w:r>
      <w:r w:rsidR="00AB18E3">
        <w:rPr>
          <w:rStyle w:val="BoldCharacter"/>
          <w:rFonts w:ascii="Leelawadee UI Semilight" w:hAnsi="Leelawadee UI Semilight"/>
          <w:b w:val="0"/>
          <w:color w:val="000000"/>
        </w:rPr>
        <w:t>Precinct</w:t>
      </w:r>
      <w:r w:rsidR="00B01DE5">
        <w:rPr>
          <w:rStyle w:val="BoldCharacter"/>
          <w:rFonts w:ascii="Leelawadee UI Semilight" w:hAnsi="Leelawadee UI Semilight"/>
          <w:b w:val="0"/>
          <w:color w:val="000000"/>
        </w:rPr>
        <w:t>.</w:t>
      </w:r>
    </w:p>
    <w:p w14:paraId="5F453B51" w14:textId="7B8D162A" w:rsidR="00487C76" w:rsidRPr="00487C76" w:rsidRDefault="00487C76" w:rsidP="00B23121">
      <w:pPr>
        <w:pStyle w:val="ListBullet"/>
      </w:pPr>
      <w:r w:rsidRPr="00487C76">
        <w:t>Develop</w:t>
      </w:r>
      <w:r w:rsidR="008B2BE9">
        <w:t>ed</w:t>
      </w:r>
      <w:r w:rsidRPr="00487C76">
        <w:t xml:space="preserve"> employment and land area projections for the Parkes </w:t>
      </w:r>
      <w:r w:rsidR="00AB18E3">
        <w:rPr>
          <w:rStyle w:val="BoldCharacter"/>
          <w:rFonts w:ascii="Leelawadee UI Semilight" w:hAnsi="Leelawadee UI Semilight"/>
          <w:b w:val="0"/>
          <w:color w:val="000000"/>
        </w:rPr>
        <w:t xml:space="preserve">Precinct </w:t>
      </w:r>
      <w:r w:rsidRPr="00487C76">
        <w:t xml:space="preserve">over the long </w:t>
      </w:r>
      <w:r w:rsidR="00B01DE5" w:rsidRPr="00487C76">
        <w:t>term.</w:t>
      </w:r>
    </w:p>
    <w:p w14:paraId="7E01898F" w14:textId="6E984FFA" w:rsidR="00487C76" w:rsidRPr="00487C76" w:rsidRDefault="00487C76" w:rsidP="00B23121">
      <w:pPr>
        <w:pStyle w:val="ListBullet"/>
      </w:pPr>
      <w:r w:rsidRPr="00487C76">
        <w:t>Provide</w:t>
      </w:r>
      <w:r w:rsidR="002437E5">
        <w:t>d</w:t>
      </w:r>
      <w:r w:rsidRPr="00487C76">
        <w:t xml:space="preserve"> a narrative for the sequencing and likely drivers for industry establishment in the precinct</w:t>
      </w:r>
      <w:r w:rsidR="00B01DE5">
        <w:t>.</w:t>
      </w:r>
    </w:p>
    <w:p w14:paraId="1C072BD0" w14:textId="361A267F" w:rsidR="00487C76" w:rsidRDefault="00487C76" w:rsidP="00B23121">
      <w:pPr>
        <w:pStyle w:val="ListBullet"/>
      </w:pPr>
      <w:r w:rsidRPr="00487C76">
        <w:t>Consider</w:t>
      </w:r>
      <w:r w:rsidR="002437E5">
        <w:t>ed</w:t>
      </w:r>
      <w:r w:rsidRPr="00487C76">
        <w:t xml:space="preserve"> the implication on the Parkes LGA population </w:t>
      </w:r>
      <w:proofErr w:type="gramStart"/>
      <w:r w:rsidRPr="00487C76">
        <w:t>as a result of</w:t>
      </w:r>
      <w:proofErr w:type="gramEnd"/>
      <w:r w:rsidRPr="00487C76">
        <w:t xml:space="preserve"> potential future employment growth.</w:t>
      </w:r>
    </w:p>
    <w:p w14:paraId="2EA906E7" w14:textId="30F4E7AA" w:rsidR="008B2BE9" w:rsidRDefault="008B2BE9" w:rsidP="002437E5">
      <w:pPr>
        <w:pStyle w:val="Heading3"/>
      </w:pPr>
      <w:r>
        <w:t>Growth scenarios</w:t>
      </w:r>
    </w:p>
    <w:p w14:paraId="406FC2AB" w14:textId="0E66B7A2" w:rsidR="008B2BE9" w:rsidRDefault="008B2BE9" w:rsidP="00BE3A4C">
      <w:r>
        <w:t xml:space="preserve">As noted, SGS’ report </w:t>
      </w:r>
      <w:r w:rsidR="002437E5">
        <w:t>d</w:t>
      </w:r>
      <w:r w:rsidR="002437E5" w:rsidRPr="002437E5">
        <w:t xml:space="preserve">eveloped three growth scenarios to test the take up and employment generation potential of the Parkes </w:t>
      </w:r>
      <w:r w:rsidR="00AB18E3">
        <w:rPr>
          <w:rStyle w:val="BoldCharacter"/>
          <w:rFonts w:ascii="Leelawadee UI Semilight" w:hAnsi="Leelawadee UI Semilight"/>
          <w:b w:val="0"/>
          <w:color w:val="000000"/>
        </w:rPr>
        <w:t>Precinct</w:t>
      </w:r>
      <w:r w:rsidR="002437E5">
        <w:t>.</w:t>
      </w:r>
    </w:p>
    <w:p w14:paraId="64562D2D" w14:textId="40505921" w:rsidR="008A529E" w:rsidRPr="008A529E" w:rsidRDefault="008A529E" w:rsidP="00D52F43">
      <w:pPr>
        <w:keepNext/>
        <w:keepLines/>
        <w:rPr>
          <w:u w:val="single"/>
        </w:rPr>
      </w:pPr>
      <w:r w:rsidRPr="008A529E">
        <w:rPr>
          <w:u w:val="single"/>
        </w:rPr>
        <w:t>Low growth scenario</w:t>
      </w:r>
    </w:p>
    <w:p w14:paraId="6784399F" w14:textId="159F6FEF" w:rsidR="005C07D4" w:rsidRDefault="005C07D4" w:rsidP="00D52F43">
      <w:pPr>
        <w:keepNext/>
        <w:keepLines/>
      </w:pPr>
      <w:r>
        <w:t>The low growth scenario is taken from NSW’s ten-year average annual employment growth rate (2006 to 2016). This is applied across the entire period of operation and represents a conservative growth projection that aligns with the state’s recent trends.</w:t>
      </w:r>
      <w:r w:rsidR="00AE656E">
        <w:t xml:space="preserve"> It represents the ‘base case’, that is, the </w:t>
      </w:r>
      <w:r w:rsidR="0044051E">
        <w:t xml:space="preserve">growth expected to occur without the </w:t>
      </w:r>
      <w:r w:rsidR="00AB18E3">
        <w:rPr>
          <w:rStyle w:val="BoldCharacter"/>
          <w:rFonts w:ascii="Leelawadee UI Semilight" w:hAnsi="Leelawadee UI Semilight"/>
          <w:b w:val="0"/>
          <w:color w:val="000000"/>
        </w:rPr>
        <w:t xml:space="preserve">Precinct </w:t>
      </w:r>
      <w:r w:rsidR="0044051E">
        <w:t>intervention.</w:t>
      </w:r>
    </w:p>
    <w:p w14:paraId="70026B45" w14:textId="17569F47" w:rsidR="008A529E" w:rsidRPr="008A529E" w:rsidRDefault="008A529E" w:rsidP="008A529E">
      <w:pPr>
        <w:rPr>
          <w:u w:val="single"/>
        </w:rPr>
      </w:pPr>
      <w:r>
        <w:rPr>
          <w:u w:val="single"/>
        </w:rPr>
        <w:t>High</w:t>
      </w:r>
      <w:r w:rsidRPr="008A529E">
        <w:rPr>
          <w:u w:val="single"/>
        </w:rPr>
        <w:t xml:space="preserve"> growth scenario</w:t>
      </w:r>
    </w:p>
    <w:p w14:paraId="7B5F3DEE" w14:textId="7DF4EC5C" w:rsidR="00BE3A4C" w:rsidRDefault="00BE3A4C" w:rsidP="00BE3A4C">
      <w:r>
        <w:t xml:space="preserve">The high growth scenario is based on analysis of comparable regional and urban precincts that have developed over </w:t>
      </w:r>
      <w:proofErr w:type="gramStart"/>
      <w:r>
        <w:t>a period of time</w:t>
      </w:r>
      <w:proofErr w:type="gramEnd"/>
      <w:r>
        <w:t xml:space="preserve"> as relatively specialised employment centres. While no precinct in </w:t>
      </w:r>
      <w:r>
        <w:lastRenderedPageBreak/>
        <w:t xml:space="preserve">Australia is directly comparable to what is proposed in Parkes, due to the specific locational and infrastructure characteristics of the </w:t>
      </w:r>
      <w:r w:rsidR="007E0371">
        <w:t>Precinct</w:t>
      </w:r>
      <w:r>
        <w:t xml:space="preserve"> as well as its scale, the use of multiple precincts to infer an average is appropriate mechanism to identify a growth rate.</w:t>
      </w:r>
    </w:p>
    <w:p w14:paraId="0FD7CB20" w14:textId="77777777" w:rsidR="00BE3A4C" w:rsidRDefault="00BE3A4C" w:rsidP="00BE3A4C">
      <w:r>
        <w:t>The high growth scenario is derived from an analysis of nine separate precincts and the change in job numbers over five-year increments (at an annualised rate). What this demonstrates is that depending on the maturity of the precinct, the growth rate is rarely linear. Rather, precincts go through a phase of establishment, growth and then maturity. The average of these precinct growth rates has been used to identify the high growth rate by five-year increments to 15 years of operation. After that, a lower growth rate is applied to reflect reduced capacity.</w:t>
      </w:r>
    </w:p>
    <w:p w14:paraId="340E6047" w14:textId="6188B88B" w:rsidR="008A529E" w:rsidRPr="008A529E" w:rsidRDefault="00FB67A8" w:rsidP="008A529E">
      <w:pPr>
        <w:rPr>
          <w:u w:val="single"/>
        </w:rPr>
      </w:pPr>
      <w:r>
        <w:rPr>
          <w:u w:val="single"/>
        </w:rPr>
        <w:t>Medium</w:t>
      </w:r>
      <w:r w:rsidR="008A529E" w:rsidRPr="008A529E">
        <w:rPr>
          <w:u w:val="single"/>
        </w:rPr>
        <w:t xml:space="preserve"> growth scenario</w:t>
      </w:r>
      <w:r w:rsidR="001710E5">
        <w:rPr>
          <w:u w:val="single"/>
        </w:rPr>
        <w:t xml:space="preserve"> (most likely)</w:t>
      </w:r>
    </w:p>
    <w:p w14:paraId="23012E3E" w14:textId="3384E7B3" w:rsidR="00127FE0" w:rsidRDefault="00E80813" w:rsidP="005C07D4">
      <w:r>
        <w:t>The medium</w:t>
      </w:r>
      <w:r w:rsidR="00BE3A4C">
        <w:t xml:space="preserve"> </w:t>
      </w:r>
      <w:r w:rsidR="00007DBC">
        <w:t xml:space="preserve">growth scenario </w:t>
      </w:r>
      <w:r w:rsidR="00BE3A4C">
        <w:t>has been taken as the median between the average of the high growth rates and the low growth</w:t>
      </w:r>
      <w:r w:rsidR="00BA2513">
        <w:t xml:space="preserve"> rate.</w:t>
      </w:r>
      <w:r w:rsidR="005C07D4">
        <w:t xml:space="preserve"> </w:t>
      </w:r>
      <w:r w:rsidR="0044051E">
        <w:t>This is considered to represent the most likely outcome</w:t>
      </w:r>
      <w:r w:rsidR="004B7556">
        <w:t xml:space="preserve"> and is </w:t>
      </w:r>
      <w:r w:rsidR="00431DCF">
        <w:t xml:space="preserve">adopted for the purposes of this </w:t>
      </w:r>
      <w:r w:rsidR="00AB18E3">
        <w:t>A</w:t>
      </w:r>
      <w:r w:rsidR="00431DCF">
        <w:t>ppendix</w:t>
      </w:r>
      <w:r w:rsidR="004B7556">
        <w:t>.</w:t>
      </w:r>
    </w:p>
    <w:p w14:paraId="5657DCF1" w14:textId="14134D94" w:rsidR="00413275" w:rsidRDefault="001B2D3F" w:rsidP="00413275">
      <w:pPr>
        <w:pStyle w:val="Heading3"/>
      </w:pPr>
      <w:r>
        <w:t>Forecast growth summary</w:t>
      </w:r>
    </w:p>
    <w:p w14:paraId="1B63E42F" w14:textId="62359279" w:rsidR="00413275" w:rsidRDefault="00413275" w:rsidP="005C07D4">
      <w:r>
        <w:t>Specific growth figures are shown in the following table and charts.</w:t>
      </w:r>
    </w:p>
    <w:p w14:paraId="5D86AC1A" w14:textId="77777777" w:rsidR="00E563C2" w:rsidRPr="00E563C2" w:rsidRDefault="00E563C2" w:rsidP="00E563C2">
      <w:pPr>
        <w:pStyle w:val="BodyText"/>
        <w:rPr>
          <w:u w:val="single"/>
        </w:rPr>
      </w:pPr>
      <w:r w:rsidRPr="00E563C2">
        <w:rPr>
          <w:u w:val="single"/>
        </w:rPr>
        <w:t>Employment growth</w:t>
      </w:r>
    </w:p>
    <w:p w14:paraId="128542B5" w14:textId="46FB51B5" w:rsidR="00E563C2" w:rsidRDefault="00E563C2" w:rsidP="00E563C2">
      <w:r w:rsidRPr="00E563C2">
        <w:rPr>
          <w:rStyle w:val="BodyTextChar"/>
        </w:rPr>
        <w:t>Over the ten-year period from 2006 until 2016, employment in the Parkes LGA grew by 0.9% per</w:t>
      </w:r>
      <w:r>
        <w:t xml:space="preserve"> annum. The </w:t>
      </w:r>
      <w:r w:rsidR="00AB18E3">
        <w:t xml:space="preserve">Special Activation Precinct </w:t>
      </w:r>
      <w:r>
        <w:t xml:space="preserve">is likely to attract </w:t>
      </w:r>
      <w:proofErr w:type="gramStart"/>
      <w:r>
        <w:t>a number of</w:t>
      </w:r>
      <w:proofErr w:type="gramEnd"/>
      <w:r>
        <w:t xml:space="preserve"> different yet inter dependent industries and businesses. Over the </w:t>
      </w:r>
      <w:r w:rsidR="001710E5">
        <w:t>10-year</w:t>
      </w:r>
      <w:r>
        <w:t xml:space="preserve"> period from 2021 until 2031, it is anticipated the </w:t>
      </w:r>
      <w:r w:rsidR="00AB18E3">
        <w:rPr>
          <w:rStyle w:val="BoldCharacter"/>
          <w:rFonts w:ascii="Leelawadee UI Semilight" w:hAnsi="Leelawadee UI Semilight"/>
          <w:b w:val="0"/>
          <w:color w:val="000000"/>
        </w:rPr>
        <w:t xml:space="preserve">Precinct </w:t>
      </w:r>
      <w:r>
        <w:t>could generate 913 additional jobs in the precinct under the medium growth scenario, an increase of 76 per cent.</w:t>
      </w:r>
    </w:p>
    <w:p w14:paraId="1D5CC464" w14:textId="77777777" w:rsidR="00E563C2" w:rsidRPr="00E563C2" w:rsidRDefault="00E563C2" w:rsidP="00E563C2">
      <w:pPr>
        <w:pStyle w:val="BodyText"/>
        <w:rPr>
          <w:u w:val="single"/>
        </w:rPr>
      </w:pPr>
      <w:r w:rsidRPr="00E563C2">
        <w:rPr>
          <w:u w:val="single"/>
        </w:rPr>
        <w:t>Employment multipliers</w:t>
      </w:r>
    </w:p>
    <w:p w14:paraId="0AE6F15F" w14:textId="591CA536" w:rsidR="00E563C2" w:rsidRDefault="00E563C2" w:rsidP="00E563C2">
      <w:r>
        <w:t xml:space="preserve">Jobs growth in the </w:t>
      </w:r>
      <w:r w:rsidR="00AB18E3">
        <w:rPr>
          <w:rStyle w:val="BoldCharacter"/>
          <w:rFonts w:ascii="Leelawadee UI Semilight" w:hAnsi="Leelawadee UI Semilight"/>
          <w:b w:val="0"/>
          <w:color w:val="000000"/>
        </w:rPr>
        <w:t xml:space="preserve">Precinct </w:t>
      </w:r>
      <w:r>
        <w:t xml:space="preserve">is likely to create additional employment opportunities in the wider Parkes LGA. Applying the region’s employment multiplier to the direct jobs anticipated in the </w:t>
      </w:r>
      <w:r w:rsidR="007E0371">
        <w:t>Precinct</w:t>
      </w:r>
      <w:r>
        <w:t xml:space="preserve">, </w:t>
      </w:r>
      <w:r w:rsidRPr="00423E09">
        <w:t xml:space="preserve">it is anticipated </w:t>
      </w:r>
      <w:r>
        <w:t>that o</w:t>
      </w:r>
      <w:r w:rsidRPr="00423E09">
        <w:t>ver the ten-year period from 2021 until 2031</w:t>
      </w:r>
      <w:r>
        <w:t xml:space="preserve"> </w:t>
      </w:r>
      <w:r w:rsidRPr="00423E09">
        <w:t xml:space="preserve">the </w:t>
      </w:r>
      <w:r w:rsidR="00AB18E3">
        <w:rPr>
          <w:rStyle w:val="BoldCharacter"/>
          <w:rFonts w:ascii="Leelawadee UI Semilight" w:hAnsi="Leelawadee UI Semilight"/>
          <w:b w:val="0"/>
          <w:color w:val="000000"/>
        </w:rPr>
        <w:t xml:space="preserve">Precinct </w:t>
      </w:r>
      <w:r w:rsidRPr="00423E09">
        <w:t xml:space="preserve">could generate </w:t>
      </w:r>
      <w:r>
        <w:t>751</w:t>
      </w:r>
      <w:r w:rsidRPr="00423E09">
        <w:t xml:space="preserve"> additional jobs in the </w:t>
      </w:r>
      <w:r>
        <w:t xml:space="preserve">Parkes LGA (excluding the </w:t>
      </w:r>
      <w:r w:rsidR="00AB18E3">
        <w:rPr>
          <w:rStyle w:val="BoldCharacter"/>
          <w:rFonts w:ascii="Leelawadee UI Semilight" w:hAnsi="Leelawadee UI Semilight"/>
          <w:b w:val="0"/>
          <w:color w:val="000000"/>
        </w:rPr>
        <w:t>Precinct</w:t>
      </w:r>
      <w:r>
        <w:t>), an increase of 76 per cent from 2021 employment levels.</w:t>
      </w:r>
    </w:p>
    <w:p w14:paraId="04EEB01C" w14:textId="77777777" w:rsidR="003229B5" w:rsidRDefault="003229B5">
      <w:pPr>
        <w:pStyle w:val="Caption"/>
      </w:pPr>
    </w:p>
    <w:p w14:paraId="506E2D2A" w14:textId="77777777" w:rsidR="003229B5" w:rsidRDefault="003229B5">
      <w:pPr>
        <w:pStyle w:val="Caption"/>
      </w:pPr>
    </w:p>
    <w:p w14:paraId="07A93414" w14:textId="77777777" w:rsidR="003229B5" w:rsidRDefault="003229B5" w:rsidP="004F7D48">
      <w:pPr>
        <w:pStyle w:val="Caption"/>
        <w:ind w:left="0" w:firstLine="0"/>
      </w:pPr>
    </w:p>
    <w:p w14:paraId="5169F4DA" w14:textId="77777777" w:rsidR="003229B5" w:rsidRDefault="003229B5">
      <w:pPr>
        <w:pStyle w:val="Caption"/>
      </w:pPr>
    </w:p>
    <w:p w14:paraId="175AEA7F" w14:textId="77777777" w:rsidR="00BB5D21" w:rsidRDefault="00BB5D21">
      <w:pPr>
        <w:rPr>
          <w:b/>
          <w:bCs/>
          <w:szCs w:val="18"/>
        </w:rPr>
      </w:pPr>
      <w:r>
        <w:br w:type="page"/>
      </w:r>
    </w:p>
    <w:p w14:paraId="40A5FC70" w14:textId="1FDE6FAC" w:rsidR="00B95D03" w:rsidRDefault="00854FDF" w:rsidP="00057D77">
      <w:pPr>
        <w:pStyle w:val="Caption"/>
        <w:rPr>
          <w:rFonts w:cs="Leelawadee UI Semilight"/>
        </w:rPr>
      </w:pPr>
      <w:r>
        <w:lastRenderedPageBreak/>
        <w:t xml:space="preserve">Table </w:t>
      </w:r>
      <w:r w:rsidR="00AC5DD6">
        <w:t>6.</w:t>
      </w:r>
      <w:fldSimple w:instr=" SEQ Table \* ARABIC ">
        <w:r w:rsidR="003C6AA3">
          <w:rPr>
            <w:noProof/>
          </w:rPr>
          <w:t>3</w:t>
        </w:r>
      </w:fldSimple>
      <w:r w:rsidR="00E76417">
        <w:t xml:space="preserve"> </w:t>
      </w:r>
      <w:r w:rsidR="00624333">
        <w:t>Forecast growth summary</w:t>
      </w:r>
    </w:p>
    <w:tbl>
      <w:tblPr>
        <w:tblStyle w:val="TableGrid"/>
        <w:tblW w:w="0" w:type="auto"/>
        <w:tblLook w:val="04A0" w:firstRow="1" w:lastRow="0" w:firstColumn="1" w:lastColumn="0" w:noHBand="0" w:noVBand="1"/>
      </w:tblPr>
      <w:tblGrid>
        <w:gridCol w:w="1699"/>
        <w:gridCol w:w="1698"/>
        <w:gridCol w:w="1698"/>
        <w:gridCol w:w="1699"/>
        <w:gridCol w:w="1699"/>
      </w:tblGrid>
      <w:tr w:rsidR="0057463C" w14:paraId="0AA9AD24" w14:textId="4FAD4A5E" w:rsidTr="00D60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tcPr>
          <w:p w14:paraId="61D30CE7" w14:textId="371A9E8F" w:rsidR="0057463C" w:rsidRDefault="0057463C" w:rsidP="00FB67A8">
            <w:pPr>
              <w:keepNext/>
              <w:keepLines/>
            </w:pPr>
            <w:r>
              <w:t>Scenario</w:t>
            </w:r>
          </w:p>
        </w:tc>
        <w:tc>
          <w:tcPr>
            <w:tcW w:w="1698" w:type="dxa"/>
          </w:tcPr>
          <w:p w14:paraId="78A2F0E7" w14:textId="648DA2CB" w:rsidR="0057463C" w:rsidRDefault="0057463C" w:rsidP="00FB67A8">
            <w:pPr>
              <w:keepNext/>
              <w:keepLines/>
              <w:jc w:val="right"/>
              <w:cnfStyle w:val="100000000000" w:firstRow="1" w:lastRow="0" w:firstColumn="0" w:lastColumn="0" w:oddVBand="0" w:evenVBand="0" w:oddHBand="0" w:evenHBand="0" w:firstRowFirstColumn="0" w:firstRowLastColumn="0" w:lastRowFirstColumn="0" w:lastRowLastColumn="0"/>
            </w:pPr>
            <w:r>
              <w:t>2021</w:t>
            </w:r>
          </w:p>
        </w:tc>
        <w:tc>
          <w:tcPr>
            <w:tcW w:w="1698" w:type="dxa"/>
          </w:tcPr>
          <w:p w14:paraId="1E00B8D8" w14:textId="5577900E" w:rsidR="0057463C" w:rsidRDefault="0057463C" w:rsidP="00FB67A8">
            <w:pPr>
              <w:keepNext/>
              <w:keepLines/>
              <w:jc w:val="right"/>
              <w:cnfStyle w:val="100000000000" w:firstRow="1" w:lastRow="0" w:firstColumn="0" w:lastColumn="0" w:oddVBand="0" w:evenVBand="0" w:oddHBand="0" w:evenHBand="0" w:firstRowFirstColumn="0" w:firstRowLastColumn="0" w:lastRowFirstColumn="0" w:lastRowLastColumn="0"/>
            </w:pPr>
            <w:r>
              <w:t>2031</w:t>
            </w:r>
          </w:p>
        </w:tc>
        <w:tc>
          <w:tcPr>
            <w:tcW w:w="3398" w:type="dxa"/>
            <w:gridSpan w:val="2"/>
          </w:tcPr>
          <w:p w14:paraId="460AC7CC" w14:textId="7EBF05A3" w:rsidR="0057463C" w:rsidRDefault="0057463C" w:rsidP="00FB67A8">
            <w:pPr>
              <w:keepNext/>
              <w:keepLines/>
              <w:jc w:val="center"/>
              <w:cnfStyle w:val="100000000000" w:firstRow="1" w:lastRow="0" w:firstColumn="0" w:lastColumn="0" w:oddVBand="0" w:evenVBand="0" w:oddHBand="0" w:evenHBand="0" w:firstRowFirstColumn="0" w:firstRowLastColumn="0" w:lastRowFirstColumn="0" w:lastRowLastColumn="0"/>
            </w:pPr>
            <w:r>
              <w:t>Change, 2021-2031</w:t>
            </w:r>
          </w:p>
        </w:tc>
      </w:tr>
      <w:tr w:rsidR="00C7527F" w:rsidRPr="001255D2" w14:paraId="359FA9E4" w14:textId="77777777" w:rsidTr="00C7527F">
        <w:trPr>
          <w:trHeight w:val="288"/>
        </w:trPr>
        <w:tc>
          <w:tcPr>
            <w:cnfStyle w:val="001000000000" w:firstRow="0" w:lastRow="0" w:firstColumn="1" w:lastColumn="0" w:oddVBand="0" w:evenVBand="0" w:oddHBand="0" w:evenHBand="0" w:firstRowFirstColumn="0" w:firstRowLastColumn="0" w:lastRowFirstColumn="0" w:lastRowLastColumn="0"/>
            <w:tcW w:w="8493" w:type="dxa"/>
            <w:gridSpan w:val="5"/>
            <w:shd w:val="clear" w:color="auto" w:fill="68878E" w:themeFill="accent3"/>
            <w:noWrap/>
          </w:tcPr>
          <w:p w14:paraId="240D8478" w14:textId="2E65CCCF" w:rsidR="00C7527F" w:rsidRPr="00020E6E" w:rsidRDefault="00C7527F" w:rsidP="00FB67A8">
            <w:pPr>
              <w:keepNext/>
              <w:keepLines/>
              <w:rPr>
                <w:b/>
                <w:color w:val="FFFFFF" w:themeColor="background1"/>
              </w:rPr>
            </w:pPr>
            <w:r w:rsidRPr="00020E6E">
              <w:rPr>
                <w:b/>
                <w:color w:val="FFFFFF" w:themeColor="background1"/>
              </w:rPr>
              <w:t xml:space="preserve">Employment growth in </w:t>
            </w:r>
            <w:r w:rsidR="00AB18E3">
              <w:rPr>
                <w:b/>
                <w:color w:val="FFFFFF" w:themeColor="background1"/>
              </w:rPr>
              <w:t xml:space="preserve">Special Activation </w:t>
            </w:r>
            <w:r w:rsidR="00AB18E3" w:rsidRPr="009406D2">
              <w:rPr>
                <w:b/>
                <w:color w:val="FFFFFF" w:themeColor="background1"/>
              </w:rPr>
              <w:t>Precinct</w:t>
            </w:r>
          </w:p>
        </w:tc>
      </w:tr>
      <w:tr w:rsidR="00C7527F" w14:paraId="4BCD90F1" w14:textId="576D61F7" w:rsidTr="00C7527F">
        <w:tc>
          <w:tcPr>
            <w:cnfStyle w:val="001000000000" w:firstRow="0" w:lastRow="0" w:firstColumn="1" w:lastColumn="0" w:oddVBand="0" w:evenVBand="0" w:oddHBand="0" w:evenHBand="0" w:firstRowFirstColumn="0" w:firstRowLastColumn="0" w:lastRowFirstColumn="0" w:lastRowLastColumn="0"/>
            <w:tcW w:w="1699" w:type="dxa"/>
          </w:tcPr>
          <w:p w14:paraId="2A63EA83" w14:textId="305FB96B" w:rsidR="00C7527F" w:rsidRDefault="00C7527F" w:rsidP="00FB67A8">
            <w:pPr>
              <w:keepNext/>
              <w:keepLines/>
            </w:pPr>
            <w:r>
              <w:t>Low</w:t>
            </w:r>
            <w:r w:rsidR="004B7556">
              <w:t xml:space="preserve"> (base case)</w:t>
            </w:r>
          </w:p>
        </w:tc>
        <w:tc>
          <w:tcPr>
            <w:tcW w:w="1698" w:type="dxa"/>
          </w:tcPr>
          <w:p w14:paraId="5628726A" w14:textId="6C7877F9"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1,204</w:t>
            </w:r>
          </w:p>
        </w:tc>
        <w:tc>
          <w:tcPr>
            <w:tcW w:w="1698" w:type="dxa"/>
          </w:tcPr>
          <w:p w14:paraId="68BA29A4" w14:textId="649F746E"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1,982</w:t>
            </w:r>
          </w:p>
        </w:tc>
        <w:tc>
          <w:tcPr>
            <w:tcW w:w="1699" w:type="dxa"/>
          </w:tcPr>
          <w:p w14:paraId="48DC7050" w14:textId="54428C3B"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778</w:t>
            </w:r>
          </w:p>
        </w:tc>
        <w:tc>
          <w:tcPr>
            <w:tcW w:w="1699" w:type="dxa"/>
          </w:tcPr>
          <w:p w14:paraId="1A541F11" w14:textId="180A9F55"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65%</w:t>
            </w:r>
          </w:p>
        </w:tc>
      </w:tr>
      <w:tr w:rsidR="00C7527F" w14:paraId="37424211" w14:textId="12CC9C9F" w:rsidTr="00423E09">
        <w:tc>
          <w:tcPr>
            <w:cnfStyle w:val="001000000000" w:firstRow="0" w:lastRow="0" w:firstColumn="1" w:lastColumn="0" w:oddVBand="0" w:evenVBand="0" w:oddHBand="0" w:evenHBand="0" w:firstRowFirstColumn="0" w:firstRowLastColumn="0" w:lastRowFirstColumn="0" w:lastRowLastColumn="0"/>
            <w:tcW w:w="1699" w:type="dxa"/>
            <w:shd w:val="clear" w:color="auto" w:fill="D3D3D3" w:themeFill="accent6" w:themeFillShade="E6"/>
          </w:tcPr>
          <w:p w14:paraId="283E4C43" w14:textId="0D8CAF5C" w:rsidR="00C7527F" w:rsidRDefault="00C7527F" w:rsidP="00FB67A8">
            <w:pPr>
              <w:keepNext/>
              <w:keepLines/>
            </w:pPr>
            <w:r>
              <w:t>Medium</w:t>
            </w:r>
            <w:r w:rsidR="004B7556">
              <w:t xml:space="preserve"> (likely)</w:t>
            </w:r>
          </w:p>
        </w:tc>
        <w:tc>
          <w:tcPr>
            <w:tcW w:w="1698" w:type="dxa"/>
            <w:shd w:val="clear" w:color="auto" w:fill="D3D3D3" w:themeFill="accent6" w:themeFillShade="E6"/>
          </w:tcPr>
          <w:p w14:paraId="79007097" w14:textId="15EDD67D"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1,204</w:t>
            </w:r>
          </w:p>
        </w:tc>
        <w:tc>
          <w:tcPr>
            <w:tcW w:w="1698" w:type="dxa"/>
            <w:shd w:val="clear" w:color="auto" w:fill="D3D3D3" w:themeFill="accent6" w:themeFillShade="E6"/>
          </w:tcPr>
          <w:p w14:paraId="20EC5149" w14:textId="604A2ED5"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2,117</w:t>
            </w:r>
          </w:p>
        </w:tc>
        <w:tc>
          <w:tcPr>
            <w:tcW w:w="1699" w:type="dxa"/>
            <w:shd w:val="clear" w:color="auto" w:fill="D3D3D3" w:themeFill="accent6" w:themeFillShade="E6"/>
          </w:tcPr>
          <w:p w14:paraId="24F71DE3" w14:textId="18F38EC7" w:rsidR="00C7527F" w:rsidRPr="00423E09"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rPr>
                <w:b/>
              </w:rPr>
            </w:pPr>
            <w:r w:rsidRPr="00423E09">
              <w:rPr>
                <w:b/>
              </w:rPr>
              <w:t>913</w:t>
            </w:r>
          </w:p>
        </w:tc>
        <w:tc>
          <w:tcPr>
            <w:tcW w:w="1699" w:type="dxa"/>
            <w:shd w:val="clear" w:color="auto" w:fill="D3D3D3" w:themeFill="accent6" w:themeFillShade="E6"/>
          </w:tcPr>
          <w:p w14:paraId="4EA13808" w14:textId="52B92343" w:rsidR="00C7527F" w:rsidRPr="00423E09"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rPr>
                <w:b/>
              </w:rPr>
            </w:pPr>
            <w:r w:rsidRPr="00423E09">
              <w:rPr>
                <w:b/>
              </w:rPr>
              <w:t>76%</w:t>
            </w:r>
          </w:p>
        </w:tc>
      </w:tr>
      <w:tr w:rsidR="00C7527F" w14:paraId="402EFBB7" w14:textId="39B5F0C5" w:rsidTr="00C7527F">
        <w:tc>
          <w:tcPr>
            <w:cnfStyle w:val="001000000000" w:firstRow="0" w:lastRow="0" w:firstColumn="1" w:lastColumn="0" w:oddVBand="0" w:evenVBand="0" w:oddHBand="0" w:evenHBand="0" w:firstRowFirstColumn="0" w:firstRowLastColumn="0" w:lastRowFirstColumn="0" w:lastRowLastColumn="0"/>
            <w:tcW w:w="1699" w:type="dxa"/>
          </w:tcPr>
          <w:p w14:paraId="03ED4D49" w14:textId="238A994F" w:rsidR="00C7527F" w:rsidRDefault="00C7527F" w:rsidP="00FB67A8">
            <w:pPr>
              <w:keepNext/>
              <w:keepLines/>
            </w:pPr>
            <w:r>
              <w:t>High</w:t>
            </w:r>
          </w:p>
        </w:tc>
        <w:tc>
          <w:tcPr>
            <w:tcW w:w="1698" w:type="dxa"/>
          </w:tcPr>
          <w:p w14:paraId="41BAAB75" w14:textId="1728289E"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1,204</w:t>
            </w:r>
          </w:p>
        </w:tc>
        <w:tc>
          <w:tcPr>
            <w:tcW w:w="1698" w:type="dxa"/>
          </w:tcPr>
          <w:p w14:paraId="31507B5A" w14:textId="7AAB02B9"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2,301</w:t>
            </w:r>
          </w:p>
        </w:tc>
        <w:tc>
          <w:tcPr>
            <w:tcW w:w="1699" w:type="dxa"/>
          </w:tcPr>
          <w:p w14:paraId="7798E8FC" w14:textId="0D945E6F"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1,097</w:t>
            </w:r>
          </w:p>
        </w:tc>
        <w:tc>
          <w:tcPr>
            <w:tcW w:w="1699" w:type="dxa"/>
          </w:tcPr>
          <w:p w14:paraId="13E2861E" w14:textId="0FF7791B"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91%</w:t>
            </w:r>
          </w:p>
        </w:tc>
      </w:tr>
      <w:tr w:rsidR="00C7527F" w:rsidRPr="00020E6E" w14:paraId="735531CB" w14:textId="77777777" w:rsidTr="00C7527F">
        <w:trPr>
          <w:trHeight w:val="288"/>
        </w:trPr>
        <w:tc>
          <w:tcPr>
            <w:cnfStyle w:val="001000000000" w:firstRow="0" w:lastRow="0" w:firstColumn="1" w:lastColumn="0" w:oddVBand="0" w:evenVBand="0" w:oddHBand="0" w:evenHBand="0" w:firstRowFirstColumn="0" w:firstRowLastColumn="0" w:lastRowFirstColumn="0" w:lastRowLastColumn="0"/>
            <w:tcW w:w="8493" w:type="dxa"/>
            <w:gridSpan w:val="5"/>
            <w:shd w:val="clear" w:color="auto" w:fill="68878E" w:themeFill="accent3"/>
            <w:noWrap/>
          </w:tcPr>
          <w:p w14:paraId="21A934A4" w14:textId="77777777" w:rsidR="00C7527F" w:rsidRPr="00020E6E" w:rsidRDefault="00C7527F" w:rsidP="00FB67A8">
            <w:pPr>
              <w:keepNext/>
              <w:keepLines/>
              <w:rPr>
                <w:b/>
                <w:color w:val="FFFFFF" w:themeColor="background1"/>
              </w:rPr>
            </w:pPr>
            <w:r w:rsidRPr="00020E6E">
              <w:rPr>
                <w:b/>
                <w:color w:val="FFFFFF" w:themeColor="background1"/>
              </w:rPr>
              <w:t>Employment multipliers in Parkes Shire LGA</w:t>
            </w:r>
          </w:p>
        </w:tc>
      </w:tr>
      <w:tr w:rsidR="00C7527F" w14:paraId="132FBF26" w14:textId="33646F90" w:rsidTr="00C7527F">
        <w:tc>
          <w:tcPr>
            <w:cnfStyle w:val="001000000000" w:firstRow="0" w:lastRow="0" w:firstColumn="1" w:lastColumn="0" w:oddVBand="0" w:evenVBand="0" w:oddHBand="0" w:evenHBand="0" w:firstRowFirstColumn="0" w:firstRowLastColumn="0" w:lastRowFirstColumn="0" w:lastRowLastColumn="0"/>
            <w:tcW w:w="1699" w:type="dxa"/>
          </w:tcPr>
          <w:p w14:paraId="657B722C" w14:textId="5A542B26" w:rsidR="00C7527F" w:rsidRDefault="00C7527F" w:rsidP="00FB67A8">
            <w:pPr>
              <w:keepNext/>
              <w:keepLines/>
            </w:pPr>
            <w:r>
              <w:t>Low</w:t>
            </w:r>
            <w:r w:rsidR="004B7556">
              <w:t xml:space="preserve"> (base case)</w:t>
            </w:r>
          </w:p>
        </w:tc>
        <w:tc>
          <w:tcPr>
            <w:tcW w:w="1698" w:type="dxa"/>
          </w:tcPr>
          <w:p w14:paraId="4BD7E1E4" w14:textId="729735C4"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991</w:t>
            </w:r>
          </w:p>
        </w:tc>
        <w:tc>
          <w:tcPr>
            <w:tcW w:w="1698" w:type="dxa"/>
          </w:tcPr>
          <w:p w14:paraId="3401D4DA" w14:textId="2DF6874E"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1,631</w:t>
            </w:r>
          </w:p>
        </w:tc>
        <w:tc>
          <w:tcPr>
            <w:tcW w:w="1699" w:type="dxa"/>
          </w:tcPr>
          <w:p w14:paraId="454F6DAF" w14:textId="65B192C6"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640</w:t>
            </w:r>
          </w:p>
        </w:tc>
        <w:tc>
          <w:tcPr>
            <w:tcW w:w="1699" w:type="dxa"/>
          </w:tcPr>
          <w:p w14:paraId="2F18C8B8" w14:textId="6858B528"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65%</w:t>
            </w:r>
          </w:p>
        </w:tc>
      </w:tr>
      <w:tr w:rsidR="00C7527F" w14:paraId="710B817C" w14:textId="6CD01DD7" w:rsidTr="00423E09">
        <w:tc>
          <w:tcPr>
            <w:cnfStyle w:val="001000000000" w:firstRow="0" w:lastRow="0" w:firstColumn="1" w:lastColumn="0" w:oddVBand="0" w:evenVBand="0" w:oddHBand="0" w:evenHBand="0" w:firstRowFirstColumn="0" w:firstRowLastColumn="0" w:lastRowFirstColumn="0" w:lastRowLastColumn="0"/>
            <w:tcW w:w="1699" w:type="dxa"/>
            <w:shd w:val="clear" w:color="auto" w:fill="D3D3D3" w:themeFill="accent6" w:themeFillShade="E6"/>
          </w:tcPr>
          <w:p w14:paraId="29C4CFDA" w14:textId="7A8E5C1A" w:rsidR="00C7527F" w:rsidRDefault="00C7527F" w:rsidP="00FB67A8">
            <w:pPr>
              <w:keepNext/>
              <w:keepLines/>
            </w:pPr>
            <w:r>
              <w:t>Medium</w:t>
            </w:r>
            <w:r w:rsidR="004B7556">
              <w:t xml:space="preserve"> (likely)</w:t>
            </w:r>
          </w:p>
        </w:tc>
        <w:tc>
          <w:tcPr>
            <w:tcW w:w="1698" w:type="dxa"/>
            <w:shd w:val="clear" w:color="auto" w:fill="D3D3D3" w:themeFill="accent6" w:themeFillShade="E6"/>
          </w:tcPr>
          <w:p w14:paraId="7E6696C3" w14:textId="35BD46FE"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991</w:t>
            </w:r>
          </w:p>
        </w:tc>
        <w:tc>
          <w:tcPr>
            <w:tcW w:w="1698" w:type="dxa"/>
            <w:shd w:val="clear" w:color="auto" w:fill="D3D3D3" w:themeFill="accent6" w:themeFillShade="E6"/>
          </w:tcPr>
          <w:p w14:paraId="40B2BC5D" w14:textId="395947A1"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1,742</w:t>
            </w:r>
          </w:p>
        </w:tc>
        <w:tc>
          <w:tcPr>
            <w:tcW w:w="1699" w:type="dxa"/>
            <w:shd w:val="clear" w:color="auto" w:fill="D3D3D3" w:themeFill="accent6" w:themeFillShade="E6"/>
          </w:tcPr>
          <w:p w14:paraId="23F109A3" w14:textId="311DBEA9" w:rsidR="00C7527F" w:rsidRPr="00423E09"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rPr>
                <w:b/>
              </w:rPr>
            </w:pPr>
            <w:r w:rsidRPr="00423E09">
              <w:rPr>
                <w:b/>
              </w:rPr>
              <w:t>751</w:t>
            </w:r>
          </w:p>
        </w:tc>
        <w:tc>
          <w:tcPr>
            <w:tcW w:w="1699" w:type="dxa"/>
            <w:shd w:val="clear" w:color="auto" w:fill="D3D3D3" w:themeFill="accent6" w:themeFillShade="E6"/>
          </w:tcPr>
          <w:p w14:paraId="0715A8E3" w14:textId="5D2824B2" w:rsidR="00C7527F" w:rsidRPr="00423E09"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rPr>
                <w:b/>
              </w:rPr>
            </w:pPr>
            <w:r w:rsidRPr="00423E09">
              <w:rPr>
                <w:b/>
              </w:rPr>
              <w:t>76%</w:t>
            </w:r>
          </w:p>
        </w:tc>
      </w:tr>
      <w:tr w:rsidR="00C7527F" w14:paraId="62645C5C" w14:textId="3BD501EF" w:rsidTr="00C7527F">
        <w:tc>
          <w:tcPr>
            <w:cnfStyle w:val="001000000000" w:firstRow="0" w:lastRow="0" w:firstColumn="1" w:lastColumn="0" w:oddVBand="0" w:evenVBand="0" w:oddHBand="0" w:evenHBand="0" w:firstRowFirstColumn="0" w:firstRowLastColumn="0" w:lastRowFirstColumn="0" w:lastRowLastColumn="0"/>
            <w:tcW w:w="1699" w:type="dxa"/>
          </w:tcPr>
          <w:p w14:paraId="617378FE" w14:textId="6814AF8E" w:rsidR="00C7527F" w:rsidRDefault="00C7527F" w:rsidP="00FB67A8">
            <w:pPr>
              <w:keepNext/>
              <w:keepLines/>
            </w:pPr>
            <w:r>
              <w:t>High</w:t>
            </w:r>
          </w:p>
        </w:tc>
        <w:tc>
          <w:tcPr>
            <w:tcW w:w="1698" w:type="dxa"/>
          </w:tcPr>
          <w:p w14:paraId="25F5875C" w14:textId="7C9FD431"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991</w:t>
            </w:r>
          </w:p>
        </w:tc>
        <w:tc>
          <w:tcPr>
            <w:tcW w:w="1698" w:type="dxa"/>
          </w:tcPr>
          <w:p w14:paraId="57569B27" w14:textId="1A9C5470"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1,893</w:t>
            </w:r>
          </w:p>
        </w:tc>
        <w:tc>
          <w:tcPr>
            <w:tcW w:w="1699" w:type="dxa"/>
          </w:tcPr>
          <w:p w14:paraId="308B12FE" w14:textId="7A60113E"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902</w:t>
            </w:r>
          </w:p>
        </w:tc>
        <w:tc>
          <w:tcPr>
            <w:tcW w:w="1699" w:type="dxa"/>
          </w:tcPr>
          <w:p w14:paraId="75B7F71A" w14:textId="52827F71" w:rsidR="00C7527F" w:rsidRDefault="00C7527F" w:rsidP="00FB67A8">
            <w:pPr>
              <w:keepNext/>
              <w:keepLines/>
              <w:jc w:val="right"/>
              <w:cnfStyle w:val="000000000000" w:firstRow="0" w:lastRow="0" w:firstColumn="0" w:lastColumn="0" w:oddVBand="0" w:evenVBand="0" w:oddHBand="0" w:evenHBand="0" w:firstRowFirstColumn="0" w:firstRowLastColumn="0" w:lastRowFirstColumn="0" w:lastRowLastColumn="0"/>
            </w:pPr>
            <w:r>
              <w:t>91%</w:t>
            </w:r>
          </w:p>
        </w:tc>
      </w:tr>
    </w:tbl>
    <w:p w14:paraId="38A06DB6" w14:textId="6BFDE5A5" w:rsidR="00854FDF" w:rsidRDefault="00624333" w:rsidP="00624333">
      <w:pPr>
        <w:pStyle w:val="Source"/>
      </w:pPr>
      <w:r w:rsidRPr="00624333">
        <w:t>Source: SGS Economics &amp; Planning- Economic and industry analysis final report (August 2019)</w:t>
      </w:r>
    </w:p>
    <w:p w14:paraId="6723EEC6" w14:textId="4903E2B5" w:rsidR="001D705A" w:rsidRPr="00AC5DD6" w:rsidRDefault="00AC5DD6" w:rsidP="00AC5DD6">
      <w:pPr>
        <w:pStyle w:val="Caption"/>
      </w:pPr>
      <w:r>
        <w:t>Figure 6.</w:t>
      </w:r>
      <w:fldSimple w:instr=" SEQ Figure \* ARABIC ">
        <w:r w:rsidR="003C6AA3">
          <w:rPr>
            <w:noProof/>
          </w:rPr>
          <w:t>3</w:t>
        </w:r>
      </w:fldSimple>
      <w:r>
        <w:t xml:space="preserve">: </w:t>
      </w:r>
      <w:r w:rsidR="001D705A" w:rsidRPr="00AC5DD6">
        <w:t xml:space="preserve">Forecast employment </w:t>
      </w:r>
      <w:r w:rsidR="00FA476C" w:rsidRPr="00AC5DD6">
        <w:t xml:space="preserve">– </w:t>
      </w:r>
      <w:r w:rsidR="00AB18E3">
        <w:rPr>
          <w:rStyle w:val="BoldCharacter"/>
          <w:rFonts w:ascii="Leelawadee UI Semilight" w:hAnsi="Leelawadee UI Semilight"/>
          <w:b/>
          <w:color w:val="000000"/>
        </w:rPr>
        <w:t>Precinct</w:t>
      </w:r>
      <w:r w:rsidR="00FA476C" w:rsidRPr="00AC5DD6">
        <w:t xml:space="preserve"> only</w:t>
      </w:r>
    </w:p>
    <w:p w14:paraId="609C3FD4" w14:textId="3B9BAFC5" w:rsidR="001D705A" w:rsidRDefault="000928F7" w:rsidP="00D048B6">
      <w:pPr>
        <w:pStyle w:val="Source"/>
      </w:pPr>
      <w:r w:rsidRPr="000928F7">
        <w:rPr>
          <w:rFonts w:cs="Leelawadee UI Semilight"/>
          <w:noProof/>
        </w:rPr>
        <w:drawing>
          <wp:inline distT="0" distB="0" distL="0" distR="0" wp14:anchorId="072ACBE8" wp14:editId="4E7006BC">
            <wp:extent cx="5399405" cy="2954020"/>
            <wp:effectExtent l="0" t="0" r="0" b="0"/>
            <wp:docPr id="77075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58099" name=""/>
                    <pic:cNvPicPr/>
                  </pic:nvPicPr>
                  <pic:blipFill>
                    <a:blip r:embed="rId15"/>
                    <a:stretch>
                      <a:fillRect/>
                    </a:stretch>
                  </pic:blipFill>
                  <pic:spPr>
                    <a:xfrm>
                      <a:off x="0" y="0"/>
                      <a:ext cx="5399405" cy="2954020"/>
                    </a:xfrm>
                    <a:prstGeom prst="rect">
                      <a:avLst/>
                    </a:prstGeom>
                  </pic:spPr>
                </pic:pic>
              </a:graphicData>
            </a:graphic>
          </wp:inline>
        </w:drawing>
      </w:r>
      <w:r w:rsidR="001D705A" w:rsidRPr="00284465">
        <w:t xml:space="preserve">Source: </w:t>
      </w:r>
      <w:r w:rsidR="001D705A">
        <w:t>SGS Economics &amp; Planning</w:t>
      </w:r>
      <w:r w:rsidR="00A66201">
        <w:t xml:space="preserve">, </w:t>
      </w:r>
      <w:r w:rsidR="001D705A">
        <w:t>Economic and industry analysis final report</w:t>
      </w:r>
      <w:r w:rsidR="001D705A" w:rsidRPr="00284465">
        <w:t xml:space="preserve"> </w:t>
      </w:r>
      <w:r w:rsidR="001D705A">
        <w:t>(August 2019)</w:t>
      </w:r>
    </w:p>
    <w:p w14:paraId="34137B80" w14:textId="65033520" w:rsidR="008A5926" w:rsidRPr="00AC5DD6" w:rsidRDefault="00AC5DD6" w:rsidP="00D52F43">
      <w:pPr>
        <w:pStyle w:val="Caption"/>
        <w:keepNext/>
        <w:keepLines/>
      </w:pPr>
      <w:r>
        <w:lastRenderedPageBreak/>
        <w:t>Figure 6.</w:t>
      </w:r>
      <w:fldSimple w:instr=" SEQ Figure \* ARABIC ">
        <w:r w:rsidR="003C6AA3">
          <w:rPr>
            <w:noProof/>
          </w:rPr>
          <w:t>4</w:t>
        </w:r>
      </w:fldSimple>
      <w:r>
        <w:t xml:space="preserve"> </w:t>
      </w:r>
      <w:r w:rsidR="00EF6D4B" w:rsidRPr="00AC5DD6">
        <w:t xml:space="preserve">Direct </w:t>
      </w:r>
      <w:r w:rsidR="00AB18E3">
        <w:rPr>
          <w:rStyle w:val="BoldCharacter"/>
          <w:rFonts w:ascii="Leelawadee UI Semilight" w:hAnsi="Leelawadee UI Semilight"/>
          <w:b/>
          <w:color w:val="000000"/>
        </w:rPr>
        <w:t>Precinct</w:t>
      </w:r>
      <w:r w:rsidR="00EF6D4B" w:rsidRPr="00AC5DD6">
        <w:t xml:space="preserve"> and indirect multiplier jobs (2041)</w:t>
      </w:r>
    </w:p>
    <w:p w14:paraId="10F5C707" w14:textId="516E40A1" w:rsidR="001D705A" w:rsidRPr="008A5926" w:rsidRDefault="008A5926" w:rsidP="00D52F43">
      <w:pPr>
        <w:pStyle w:val="BodyText"/>
        <w:keepNext/>
        <w:keepLines/>
        <w:rPr>
          <w:rFonts w:cs="Leelawadee UI Semilight"/>
        </w:rPr>
      </w:pPr>
      <w:r w:rsidRPr="008A5926">
        <w:rPr>
          <w:rFonts w:cs="Leelawadee UI Semilight"/>
          <w:noProof/>
        </w:rPr>
        <w:drawing>
          <wp:inline distT="0" distB="0" distL="0" distR="0" wp14:anchorId="0DB23C6E" wp14:editId="1265479C">
            <wp:extent cx="5399405" cy="2893695"/>
            <wp:effectExtent l="0" t="0" r="0" b="1905"/>
            <wp:docPr id="1832671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71951" name=""/>
                    <pic:cNvPicPr/>
                  </pic:nvPicPr>
                  <pic:blipFill>
                    <a:blip r:embed="rId16"/>
                    <a:stretch>
                      <a:fillRect/>
                    </a:stretch>
                  </pic:blipFill>
                  <pic:spPr>
                    <a:xfrm>
                      <a:off x="0" y="0"/>
                      <a:ext cx="5399405" cy="2893695"/>
                    </a:xfrm>
                    <a:prstGeom prst="rect">
                      <a:avLst/>
                    </a:prstGeom>
                  </pic:spPr>
                </pic:pic>
              </a:graphicData>
            </a:graphic>
          </wp:inline>
        </w:drawing>
      </w:r>
    </w:p>
    <w:p w14:paraId="35D47FA7" w14:textId="77777777" w:rsidR="00D048B6" w:rsidRDefault="00D048B6" w:rsidP="00D048B6">
      <w:pPr>
        <w:pStyle w:val="Source"/>
      </w:pPr>
      <w:r w:rsidRPr="00284465">
        <w:t xml:space="preserve">Source: </w:t>
      </w:r>
      <w:r>
        <w:t>SGS Economics &amp; Planning</w:t>
      </w:r>
      <w:r w:rsidRPr="00284465">
        <w:t xml:space="preserve">- </w:t>
      </w:r>
      <w:r>
        <w:t>Economic and industry analysis final report</w:t>
      </w:r>
      <w:r w:rsidRPr="00284465">
        <w:t xml:space="preserve"> </w:t>
      </w:r>
      <w:r>
        <w:t>(August 2019)</w:t>
      </w:r>
    </w:p>
    <w:p w14:paraId="484E3DF5" w14:textId="29D49704" w:rsidR="00232AEF" w:rsidRDefault="00232AEF" w:rsidP="00057D77">
      <w:pPr>
        <w:pStyle w:val="AppendixSubHeading"/>
      </w:pPr>
      <w:bookmarkStart w:id="12" w:name="_Ref146103166"/>
      <w:r>
        <w:t>Infrastructure strategy</w:t>
      </w:r>
      <w:bookmarkEnd w:id="12"/>
    </w:p>
    <w:p w14:paraId="6A049E88" w14:textId="19A4590D" w:rsidR="004B7556" w:rsidRPr="005F1057" w:rsidRDefault="00232AEF" w:rsidP="006E4550">
      <w:pPr>
        <w:pStyle w:val="BodyText"/>
        <w:rPr>
          <w:color w:val="auto"/>
        </w:rPr>
      </w:pPr>
      <w:r w:rsidRPr="005F1057">
        <w:rPr>
          <w:color w:val="auto"/>
        </w:rPr>
        <w:t xml:space="preserve">As outlined in </w:t>
      </w:r>
      <w:r w:rsidR="007B16A6" w:rsidRPr="005F1057">
        <w:rPr>
          <w:color w:val="auto"/>
        </w:rPr>
        <w:t xml:space="preserve">the previous section, </w:t>
      </w:r>
      <w:r w:rsidRPr="005F1057">
        <w:rPr>
          <w:color w:val="auto"/>
        </w:rPr>
        <w:t xml:space="preserve">the </w:t>
      </w:r>
      <w:r w:rsidR="007B16A6" w:rsidRPr="005F1057">
        <w:rPr>
          <w:color w:val="auto"/>
        </w:rPr>
        <w:t>Parkes</w:t>
      </w:r>
      <w:r w:rsidRPr="005F1057">
        <w:rPr>
          <w:color w:val="auto"/>
        </w:rPr>
        <w:t xml:space="preserve"> </w:t>
      </w:r>
      <w:r w:rsidR="00AB18E3">
        <w:rPr>
          <w:rStyle w:val="BoldCharacter"/>
          <w:rFonts w:ascii="Leelawadee UI Semilight" w:hAnsi="Leelawadee UI Semilight"/>
          <w:b w:val="0"/>
          <w:color w:val="000000"/>
        </w:rPr>
        <w:t>Precinct</w:t>
      </w:r>
      <w:r w:rsidRPr="005F1057">
        <w:rPr>
          <w:color w:val="auto"/>
        </w:rPr>
        <w:t xml:space="preserve"> is expected to </w:t>
      </w:r>
      <w:r w:rsidR="007B16A6" w:rsidRPr="005F1057">
        <w:rPr>
          <w:color w:val="auto"/>
        </w:rPr>
        <w:t>generate</w:t>
      </w:r>
      <w:r w:rsidRPr="005F1057">
        <w:rPr>
          <w:color w:val="auto"/>
        </w:rPr>
        <w:t xml:space="preserve"> significant employment growth </w:t>
      </w:r>
      <w:r w:rsidR="006E4550" w:rsidRPr="005F1057">
        <w:rPr>
          <w:color w:val="auto"/>
        </w:rPr>
        <w:t>both within t</w:t>
      </w:r>
      <w:r w:rsidRPr="005F1057">
        <w:rPr>
          <w:color w:val="auto"/>
        </w:rPr>
        <w:t xml:space="preserve">he </w:t>
      </w:r>
      <w:r w:rsidR="00AB18E3">
        <w:rPr>
          <w:rStyle w:val="BoldCharacter"/>
          <w:rFonts w:ascii="Leelawadee UI Semilight" w:hAnsi="Leelawadee UI Semilight"/>
          <w:b w:val="0"/>
          <w:color w:val="000000"/>
        </w:rPr>
        <w:t>Precinct</w:t>
      </w:r>
      <w:r w:rsidR="006E4550" w:rsidRPr="005F1057">
        <w:rPr>
          <w:color w:val="auto"/>
        </w:rPr>
        <w:t xml:space="preserve"> and Parkes Shire LGA. </w:t>
      </w:r>
    </w:p>
    <w:p w14:paraId="72035DDE" w14:textId="0BD4EF9D" w:rsidR="00ED6205" w:rsidRPr="005F1057" w:rsidRDefault="00232AEF" w:rsidP="009F010A">
      <w:pPr>
        <w:pStyle w:val="BodyText"/>
        <w:rPr>
          <w:color w:val="auto"/>
        </w:rPr>
      </w:pPr>
      <w:r w:rsidRPr="005F1057">
        <w:rPr>
          <w:color w:val="auto"/>
        </w:rPr>
        <w:t>Under the most likely scenario</w:t>
      </w:r>
      <w:r w:rsidR="009F010A" w:rsidRPr="005F1057">
        <w:rPr>
          <w:color w:val="auto"/>
        </w:rPr>
        <w:t xml:space="preserve"> </w:t>
      </w:r>
      <w:r w:rsidRPr="005F1057">
        <w:rPr>
          <w:color w:val="auto"/>
        </w:rPr>
        <w:t xml:space="preserve">(that is, </w:t>
      </w:r>
      <w:r w:rsidR="009F010A" w:rsidRPr="005F1057">
        <w:rPr>
          <w:color w:val="auto"/>
        </w:rPr>
        <w:t xml:space="preserve">the ‘medium growth’ scenario), </w:t>
      </w:r>
      <w:r w:rsidR="005E7ACF" w:rsidRPr="005F1057">
        <w:rPr>
          <w:color w:val="auto"/>
        </w:rPr>
        <w:t>o</w:t>
      </w:r>
      <w:r w:rsidR="009F010A" w:rsidRPr="005F1057">
        <w:rPr>
          <w:color w:val="auto"/>
        </w:rPr>
        <w:t xml:space="preserve">ver the </w:t>
      </w:r>
      <w:r w:rsidR="00ED6205" w:rsidRPr="005F1057">
        <w:rPr>
          <w:color w:val="auto"/>
        </w:rPr>
        <w:t>ten-year</w:t>
      </w:r>
      <w:r w:rsidR="009F010A" w:rsidRPr="005F1057">
        <w:rPr>
          <w:color w:val="auto"/>
        </w:rPr>
        <w:t xml:space="preserve"> period from 2021 until 2031, it is anticipated the </w:t>
      </w:r>
      <w:r w:rsidR="00AB18E3">
        <w:rPr>
          <w:rStyle w:val="BoldCharacter"/>
          <w:rFonts w:ascii="Leelawadee UI Semilight" w:hAnsi="Leelawadee UI Semilight"/>
          <w:b w:val="0"/>
          <w:color w:val="000000"/>
        </w:rPr>
        <w:t>Precinct</w:t>
      </w:r>
      <w:r w:rsidR="009F010A" w:rsidRPr="005F1057">
        <w:rPr>
          <w:color w:val="auto"/>
        </w:rPr>
        <w:t xml:space="preserve"> could generate 913 additional jobs</w:t>
      </w:r>
      <w:r w:rsidR="005E7ACF" w:rsidRPr="005F1057">
        <w:rPr>
          <w:color w:val="auto"/>
        </w:rPr>
        <w:t xml:space="preserve">, </w:t>
      </w:r>
      <w:r w:rsidR="009F010A" w:rsidRPr="005F1057">
        <w:rPr>
          <w:color w:val="auto"/>
        </w:rPr>
        <w:t>an increase of 76 per cent.</w:t>
      </w:r>
      <w:r w:rsidR="005E7ACF" w:rsidRPr="005F1057">
        <w:rPr>
          <w:color w:val="auto"/>
        </w:rPr>
        <w:t xml:space="preserve"> </w:t>
      </w:r>
      <w:r w:rsidR="00ED6205" w:rsidRPr="005F1057">
        <w:rPr>
          <w:color w:val="auto"/>
        </w:rPr>
        <w:t xml:space="preserve">In the wider LGA (excluding the </w:t>
      </w:r>
      <w:r w:rsidR="004A2C7D">
        <w:rPr>
          <w:color w:val="auto"/>
        </w:rPr>
        <w:t>Special Activation Precinct</w:t>
      </w:r>
      <w:r w:rsidR="00ED6205" w:rsidRPr="005F1057">
        <w:rPr>
          <w:color w:val="auto"/>
        </w:rPr>
        <w:t xml:space="preserve">), </w:t>
      </w:r>
      <w:r w:rsidR="009F010A" w:rsidRPr="005F1057">
        <w:rPr>
          <w:color w:val="auto"/>
        </w:rPr>
        <w:t xml:space="preserve">it is anticipated the </w:t>
      </w:r>
      <w:r w:rsidR="00AB18E3">
        <w:rPr>
          <w:rStyle w:val="BoldCharacter"/>
          <w:rFonts w:ascii="Leelawadee UI Semilight" w:hAnsi="Leelawadee UI Semilight"/>
          <w:b w:val="0"/>
          <w:color w:val="000000"/>
        </w:rPr>
        <w:t>Precinct</w:t>
      </w:r>
      <w:r w:rsidR="009F010A" w:rsidRPr="005F1057">
        <w:rPr>
          <w:color w:val="auto"/>
        </w:rPr>
        <w:t xml:space="preserve"> could generate 751 additional jobs</w:t>
      </w:r>
      <w:r w:rsidR="00ED6205" w:rsidRPr="005F1057">
        <w:rPr>
          <w:color w:val="auto"/>
        </w:rPr>
        <w:t xml:space="preserve">, </w:t>
      </w:r>
      <w:r w:rsidR="005F1057" w:rsidRPr="005F1057">
        <w:rPr>
          <w:color w:val="auto"/>
        </w:rPr>
        <w:t>an increase of 76 per cent.</w:t>
      </w:r>
    </w:p>
    <w:p w14:paraId="1FDE2B51" w14:textId="4424CEF3" w:rsidR="004B4DBB" w:rsidRPr="004B4DBB" w:rsidRDefault="00232AEF" w:rsidP="00232AEF">
      <w:pPr>
        <w:pStyle w:val="BodyText"/>
        <w:rPr>
          <w:color w:val="auto"/>
        </w:rPr>
      </w:pPr>
      <w:r w:rsidRPr="004B4DBB">
        <w:rPr>
          <w:color w:val="auto"/>
        </w:rPr>
        <w:t xml:space="preserve">This employment growth will generate demand for a range of new and augmented infrastructure. Infrastructure to be </w:t>
      </w:r>
      <w:r w:rsidR="00C878E8">
        <w:rPr>
          <w:color w:val="auto"/>
        </w:rPr>
        <w:t>deliver</w:t>
      </w:r>
      <w:r w:rsidR="00F553CB">
        <w:rPr>
          <w:color w:val="auto"/>
        </w:rPr>
        <w:t>ed</w:t>
      </w:r>
      <w:r w:rsidR="00C878E8">
        <w:rPr>
          <w:color w:val="auto"/>
        </w:rPr>
        <w:t xml:space="preserve"> </w:t>
      </w:r>
      <w:r w:rsidRPr="004B4DBB">
        <w:rPr>
          <w:color w:val="auto"/>
        </w:rPr>
        <w:t xml:space="preserve">by RGDC </w:t>
      </w:r>
      <w:r w:rsidR="003D69A1">
        <w:rPr>
          <w:color w:val="auto"/>
        </w:rPr>
        <w:t xml:space="preserve">in the Parkes </w:t>
      </w:r>
      <w:r w:rsidR="00F553CB">
        <w:rPr>
          <w:color w:val="auto"/>
        </w:rPr>
        <w:t xml:space="preserve">Precinct on </w:t>
      </w:r>
      <w:r w:rsidR="00C878E8">
        <w:rPr>
          <w:color w:val="auto"/>
        </w:rPr>
        <w:t>Council</w:t>
      </w:r>
      <w:r w:rsidR="00F553CB">
        <w:rPr>
          <w:color w:val="auto"/>
        </w:rPr>
        <w:t>’s behalf</w:t>
      </w:r>
      <w:r w:rsidR="003D69A1">
        <w:rPr>
          <w:color w:val="auto"/>
        </w:rPr>
        <w:t>,</w:t>
      </w:r>
      <w:r w:rsidR="00C878E8">
        <w:rPr>
          <w:color w:val="auto"/>
        </w:rPr>
        <w:t xml:space="preserve"> </w:t>
      </w:r>
      <w:r w:rsidR="00F553CB">
        <w:rPr>
          <w:color w:val="auto"/>
        </w:rPr>
        <w:t xml:space="preserve">and </w:t>
      </w:r>
      <w:r w:rsidR="00C878E8">
        <w:rPr>
          <w:color w:val="auto"/>
        </w:rPr>
        <w:t xml:space="preserve">funded </w:t>
      </w:r>
      <w:r w:rsidR="00F553CB">
        <w:rPr>
          <w:color w:val="auto"/>
        </w:rPr>
        <w:t xml:space="preserve">through </w:t>
      </w:r>
      <w:r w:rsidRPr="004B4DBB">
        <w:rPr>
          <w:color w:val="auto"/>
        </w:rPr>
        <w:t xml:space="preserve">contributions collected by Council under this </w:t>
      </w:r>
      <w:r w:rsidR="00C878E8">
        <w:rPr>
          <w:color w:val="auto"/>
        </w:rPr>
        <w:t>A</w:t>
      </w:r>
      <w:r w:rsidR="00C878E8" w:rsidRPr="004B4DBB">
        <w:rPr>
          <w:color w:val="auto"/>
        </w:rPr>
        <w:t xml:space="preserve">ppendix </w:t>
      </w:r>
      <w:r w:rsidRPr="004B4DBB">
        <w:rPr>
          <w:color w:val="auto"/>
        </w:rPr>
        <w:t xml:space="preserve">are shown in the </w:t>
      </w:r>
      <w:r w:rsidR="004B4DBB" w:rsidRPr="004B4DBB">
        <w:rPr>
          <w:color w:val="auto"/>
        </w:rPr>
        <w:t>works</w:t>
      </w:r>
      <w:r w:rsidRPr="004B4DBB">
        <w:rPr>
          <w:color w:val="auto"/>
        </w:rPr>
        <w:t xml:space="preserve"> schedule in </w:t>
      </w:r>
      <w:r w:rsidR="004B4DBB" w:rsidRPr="004B4DBB">
        <w:rPr>
          <w:color w:val="auto"/>
        </w:rPr>
        <w:t>the following section.</w:t>
      </w:r>
    </w:p>
    <w:p w14:paraId="2BE6A33D" w14:textId="5324225C" w:rsidR="005344F1" w:rsidRPr="005344F1" w:rsidRDefault="00232AEF" w:rsidP="007F56B0">
      <w:pPr>
        <w:pStyle w:val="BodyText"/>
        <w:rPr>
          <w:color w:val="auto"/>
        </w:rPr>
      </w:pPr>
      <w:r w:rsidRPr="005344F1">
        <w:rPr>
          <w:color w:val="auto"/>
        </w:rPr>
        <w:t xml:space="preserve">As noted in </w:t>
      </w:r>
      <w:r w:rsidRPr="005344F1">
        <w:rPr>
          <w:rStyle w:val="BoldCharacter"/>
          <w:color w:val="auto"/>
        </w:rPr>
        <w:t>section</w:t>
      </w:r>
      <w:r w:rsidR="00AC0DF6">
        <w:rPr>
          <w:rStyle w:val="BoldCharacter"/>
          <w:color w:val="auto"/>
        </w:rPr>
        <w:t xml:space="preserve"> </w:t>
      </w:r>
      <w:r w:rsidR="00AC0DF6">
        <w:rPr>
          <w:rStyle w:val="BoldCharacter"/>
          <w:color w:val="auto"/>
        </w:rPr>
        <w:fldChar w:fldCharType="begin"/>
      </w:r>
      <w:r w:rsidR="00AC0DF6">
        <w:rPr>
          <w:rStyle w:val="BoldCharacter"/>
          <w:color w:val="auto"/>
        </w:rPr>
        <w:instrText xml:space="preserve"> REF _Ref146096758 \r \h </w:instrText>
      </w:r>
      <w:r w:rsidR="00AC0DF6">
        <w:rPr>
          <w:rStyle w:val="BoldCharacter"/>
          <w:color w:val="auto"/>
        </w:rPr>
      </w:r>
      <w:r w:rsidR="00AC0DF6">
        <w:rPr>
          <w:rStyle w:val="BoldCharacter"/>
          <w:color w:val="auto"/>
        </w:rPr>
        <w:fldChar w:fldCharType="separate"/>
      </w:r>
      <w:r w:rsidR="003C6AA3">
        <w:rPr>
          <w:rStyle w:val="BoldCharacter"/>
          <w:color w:val="auto"/>
        </w:rPr>
        <w:t>6.8:</w:t>
      </w:r>
      <w:r w:rsidR="00AC0DF6">
        <w:rPr>
          <w:rStyle w:val="BoldCharacter"/>
          <w:color w:val="auto"/>
        </w:rPr>
        <w:fldChar w:fldCharType="end"/>
      </w:r>
      <w:r w:rsidRPr="005344F1">
        <w:rPr>
          <w:color w:val="auto"/>
        </w:rPr>
        <w:t xml:space="preserve"> of this </w:t>
      </w:r>
      <w:r w:rsidR="00AB18E3">
        <w:rPr>
          <w:color w:val="auto"/>
        </w:rPr>
        <w:t>A</w:t>
      </w:r>
      <w:r w:rsidR="00932A80" w:rsidRPr="005344F1">
        <w:rPr>
          <w:color w:val="auto"/>
        </w:rPr>
        <w:t>ppendix</w:t>
      </w:r>
      <w:r w:rsidRPr="005344F1">
        <w:rPr>
          <w:color w:val="auto"/>
        </w:rPr>
        <w:t xml:space="preserve">, for development with a development cost over $200,000, this plan levies contributions on development calculated at </w:t>
      </w:r>
      <w:r w:rsidR="007F56B0" w:rsidRPr="005344F1">
        <w:rPr>
          <w:color w:val="auto"/>
        </w:rPr>
        <w:t>three (3)</w:t>
      </w:r>
      <w:r w:rsidRPr="005344F1">
        <w:rPr>
          <w:color w:val="auto"/>
        </w:rPr>
        <w:t xml:space="preserve"> per cent of the development cost. Contributions will be collected by Council. </w:t>
      </w:r>
      <w:r w:rsidR="007F56B0" w:rsidRPr="005344F1">
        <w:rPr>
          <w:color w:val="auto"/>
        </w:rPr>
        <w:t xml:space="preserve">Council will retain one (1) percent and apply this to the works schedule in </w:t>
      </w:r>
      <w:r w:rsidR="007F56B0" w:rsidRPr="005344F1">
        <w:rPr>
          <w:rStyle w:val="BoldCharacter"/>
          <w:color w:val="auto"/>
        </w:rPr>
        <w:t>Appendix 1</w:t>
      </w:r>
      <w:r w:rsidR="007F56B0" w:rsidRPr="005344F1">
        <w:rPr>
          <w:color w:val="auto"/>
        </w:rPr>
        <w:t xml:space="preserve"> of this plan. The remaining two (2) per cent will be transferred </w:t>
      </w:r>
      <w:r w:rsidR="00F553CB">
        <w:rPr>
          <w:color w:val="auto"/>
        </w:rPr>
        <w:t xml:space="preserve">by Council </w:t>
      </w:r>
      <w:r w:rsidR="007F56B0" w:rsidRPr="005344F1">
        <w:rPr>
          <w:color w:val="auto"/>
        </w:rPr>
        <w:t xml:space="preserve">to RGDC </w:t>
      </w:r>
      <w:r w:rsidR="00C878E8">
        <w:rPr>
          <w:color w:val="auto"/>
        </w:rPr>
        <w:t xml:space="preserve">in </w:t>
      </w:r>
      <w:r w:rsidR="003D69A1">
        <w:rPr>
          <w:color w:val="auto"/>
        </w:rPr>
        <w:t xml:space="preserve">consideration </w:t>
      </w:r>
      <w:r w:rsidR="00C878E8">
        <w:rPr>
          <w:color w:val="auto"/>
        </w:rPr>
        <w:t xml:space="preserve">for </w:t>
      </w:r>
      <w:r w:rsidR="003D69A1">
        <w:rPr>
          <w:color w:val="auto"/>
        </w:rPr>
        <w:t>the</w:t>
      </w:r>
      <w:r w:rsidR="00C878E8">
        <w:rPr>
          <w:color w:val="auto"/>
        </w:rPr>
        <w:t xml:space="preserve"> delivery </w:t>
      </w:r>
      <w:r w:rsidR="003D69A1">
        <w:rPr>
          <w:color w:val="auto"/>
        </w:rPr>
        <w:t xml:space="preserve">by RGDC </w:t>
      </w:r>
      <w:r w:rsidR="00C878E8">
        <w:rPr>
          <w:color w:val="auto"/>
        </w:rPr>
        <w:t xml:space="preserve">of </w:t>
      </w:r>
      <w:r w:rsidR="007F56B0" w:rsidRPr="005344F1">
        <w:rPr>
          <w:color w:val="auto"/>
        </w:rPr>
        <w:t xml:space="preserve">the works in the works schedule in </w:t>
      </w:r>
      <w:r w:rsidR="007F56B0" w:rsidRPr="005344F1">
        <w:rPr>
          <w:rStyle w:val="BoldCharacter"/>
          <w:color w:val="auto"/>
        </w:rPr>
        <w:t>section</w:t>
      </w:r>
      <w:r w:rsidR="00140F65">
        <w:rPr>
          <w:rStyle w:val="BoldCharacter"/>
          <w:color w:val="auto"/>
        </w:rPr>
        <w:t xml:space="preserve"> </w:t>
      </w:r>
      <w:r w:rsidR="00AB5165" w:rsidRPr="00917116">
        <w:rPr>
          <w:rStyle w:val="BoldCharacter"/>
          <w:color w:val="auto"/>
        </w:rPr>
        <w:t>6.</w:t>
      </w:r>
      <w:r w:rsidR="00CA7B11" w:rsidRPr="00917116">
        <w:rPr>
          <w:rStyle w:val="BoldCharacter"/>
          <w:color w:val="auto"/>
        </w:rPr>
        <w:t>1</w:t>
      </w:r>
      <w:r w:rsidR="00AB5165" w:rsidRPr="00917116">
        <w:rPr>
          <w:rStyle w:val="BoldCharacter"/>
          <w:color w:val="auto"/>
        </w:rPr>
        <w:t>3</w:t>
      </w:r>
      <w:r w:rsidR="007F56B0" w:rsidRPr="005344F1">
        <w:rPr>
          <w:color w:val="auto"/>
        </w:rPr>
        <w:t xml:space="preserve"> of this </w:t>
      </w:r>
      <w:r w:rsidR="00AB18E3">
        <w:rPr>
          <w:color w:val="auto"/>
        </w:rPr>
        <w:t>A</w:t>
      </w:r>
      <w:r w:rsidR="007F56B0" w:rsidRPr="005344F1">
        <w:rPr>
          <w:color w:val="auto"/>
        </w:rPr>
        <w:t>ppendix</w:t>
      </w:r>
      <w:r w:rsidR="00F553CB">
        <w:rPr>
          <w:color w:val="auto"/>
        </w:rPr>
        <w:t xml:space="preserve"> on </w:t>
      </w:r>
      <w:r w:rsidR="003D69A1">
        <w:rPr>
          <w:color w:val="auto"/>
        </w:rPr>
        <w:t>Council’s</w:t>
      </w:r>
      <w:r w:rsidR="00F553CB">
        <w:rPr>
          <w:color w:val="auto"/>
        </w:rPr>
        <w:t xml:space="preserve"> behalf</w:t>
      </w:r>
      <w:r w:rsidR="007F56B0" w:rsidRPr="005344F1">
        <w:rPr>
          <w:color w:val="auto"/>
        </w:rPr>
        <w:t xml:space="preserve">. </w:t>
      </w:r>
    </w:p>
    <w:p w14:paraId="44711AB2" w14:textId="6652299B" w:rsidR="008C66C9" w:rsidRDefault="009D13A6" w:rsidP="009D13A6">
      <w:pPr>
        <w:pStyle w:val="AppendixSubHeading"/>
      </w:pPr>
      <w:r w:rsidRPr="009D13A6">
        <w:t xml:space="preserve">Justification for 3 per cent levy </w:t>
      </w:r>
    </w:p>
    <w:p w14:paraId="3B427637" w14:textId="2C46F459" w:rsidR="001F5F28" w:rsidRDefault="001F5F28" w:rsidP="001F5F28">
      <w:pPr>
        <w:rPr>
          <w:color w:val="auto"/>
        </w:rPr>
      </w:pPr>
      <w:r w:rsidRPr="00664C1B">
        <w:rPr>
          <w:color w:val="auto"/>
        </w:rPr>
        <w:t>The 3 per cent contribution levied on development in the Precinct over $200,000 under this Appendix is reasonable as the cost of infrastructure to be delivered in the Precinct and funded using contributions under this Appendix is substantially less than the cost of infrastructure to be funded using contributions under this Appendix.</w:t>
      </w:r>
    </w:p>
    <w:p w14:paraId="7FBDFFC8" w14:textId="77777777" w:rsidR="001F5F28" w:rsidRDefault="001F5F28" w:rsidP="001F5F28">
      <w:pPr>
        <w:rPr>
          <w:color w:val="auto"/>
        </w:rPr>
      </w:pPr>
      <w:r>
        <w:rPr>
          <w:color w:val="auto"/>
        </w:rPr>
        <w:lastRenderedPageBreak/>
        <w:t>The table below includes estimates of the following:</w:t>
      </w:r>
    </w:p>
    <w:p w14:paraId="370A99C3" w14:textId="77777777" w:rsidR="001F5F28" w:rsidRDefault="001F5F28" w:rsidP="001F5F28">
      <w:pPr>
        <w:pStyle w:val="ListBullet"/>
      </w:pPr>
      <w:r>
        <w:t>Infrastructure demand reasonably attributed to development</w:t>
      </w:r>
    </w:p>
    <w:p w14:paraId="2CB99C4B" w14:textId="77777777" w:rsidR="001F5F28" w:rsidRDefault="001F5F28" w:rsidP="001F5F28">
      <w:pPr>
        <w:pStyle w:val="ListBullet"/>
      </w:pPr>
      <w:r>
        <w:t>Expected contributions income under this Appendix</w:t>
      </w:r>
    </w:p>
    <w:p w14:paraId="67ADA38A" w14:textId="77777777" w:rsidR="001F5F28" w:rsidRDefault="001F5F28" w:rsidP="001F5F28">
      <w:pPr>
        <w:pStyle w:val="ListBullet"/>
      </w:pPr>
      <w:r>
        <w:t>Infrastructure costs expected to be funded from contributions under this Appendix.</w:t>
      </w:r>
    </w:p>
    <w:p w14:paraId="0B67CB1D" w14:textId="3918B467" w:rsidR="001F5F28" w:rsidRDefault="001F5F28" w:rsidP="001F5F28">
      <w:pPr>
        <w:pStyle w:val="BodyText"/>
      </w:pPr>
      <w:r>
        <w:t xml:space="preserve">As shown, </w:t>
      </w:r>
      <w:r w:rsidRPr="00664C1B">
        <w:rPr>
          <w:rStyle w:val="BoldCharacter"/>
        </w:rPr>
        <w:t>35 per cent</w:t>
      </w:r>
      <w:r>
        <w:t xml:space="preserve"> of the infrastructure demand and cost in the Precinct from 2023 until 2031 can reasonably be attributed to development in the Precinct from 2023 until 2031. This equates to approximately </w:t>
      </w:r>
      <w:r w:rsidRPr="00664C1B">
        <w:rPr>
          <w:rStyle w:val="BoldCharacter"/>
        </w:rPr>
        <w:t>$35</w:t>
      </w:r>
      <w:r w:rsidR="004709AA">
        <w:rPr>
          <w:rStyle w:val="BoldCharacter"/>
        </w:rPr>
        <w:t>.5</w:t>
      </w:r>
      <w:r w:rsidRPr="00664C1B">
        <w:rPr>
          <w:rStyle w:val="BoldCharacter"/>
        </w:rPr>
        <w:t xml:space="preserve"> million</w:t>
      </w:r>
      <w:r>
        <w:t xml:space="preserve"> of the $101</w:t>
      </w:r>
      <w:r w:rsidR="007118EB">
        <w:t>.5</w:t>
      </w:r>
      <w:r>
        <w:t xml:space="preserve"> million in works to be delivered by RGDC in the Precinct. </w:t>
      </w:r>
    </w:p>
    <w:p w14:paraId="27E7D32E" w14:textId="032C3DC9" w:rsidR="001F5F28" w:rsidRDefault="001F5F28" w:rsidP="001F5F28">
      <w:pPr>
        <w:pStyle w:val="BodyText"/>
      </w:pPr>
      <w:r>
        <w:t xml:space="preserve">Of this, it is estimated contributions will fund approximately </w:t>
      </w:r>
      <w:r w:rsidRPr="00664C1B">
        <w:rPr>
          <w:rStyle w:val="BoldCharacter"/>
        </w:rPr>
        <w:t>$13.7 million</w:t>
      </w:r>
      <w:r>
        <w:t xml:space="preserve"> of infrastructure to be delivered in the Precinct from 2023 until 2031. This equates to approximately </w:t>
      </w:r>
      <w:r w:rsidRPr="00664C1B">
        <w:rPr>
          <w:rStyle w:val="BoldCharacter"/>
        </w:rPr>
        <w:t>9 per cent</w:t>
      </w:r>
      <w:r>
        <w:t xml:space="preserve"> of the cost of infrastructure to be delivered in the Precinct to support development in the Precinct from 2023 until 2031.</w:t>
      </w:r>
    </w:p>
    <w:p w14:paraId="45EC3F50" w14:textId="5F93B76C" w:rsidR="001F5F28" w:rsidRDefault="001F5F28" w:rsidP="001F5F28">
      <w:pPr>
        <w:pStyle w:val="BodyText"/>
      </w:pPr>
      <w:r>
        <w:t xml:space="preserve">The 9 per cent of the cost of infrastructure to be delivered in the Precinct and funded using contributions under this Appendix is significantly less than the 35 per cent of the cost of the infrastructure that can reasonably be attributed to development in the Precinct from 2023 until 2031. The contributions that apply to development in the Precinct under this Appendix are therefore reasonable. </w:t>
      </w:r>
      <w:r w:rsidR="00732A3B">
        <w:t>T</w:t>
      </w:r>
      <w:r>
        <w:t xml:space="preserve">he balance of </w:t>
      </w:r>
      <w:r w:rsidR="00732A3B">
        <w:t xml:space="preserve">the </w:t>
      </w:r>
      <w:r>
        <w:t>cost</w:t>
      </w:r>
      <w:r w:rsidR="00732A3B">
        <w:t xml:space="preserve"> of the infrastructure will be funded</w:t>
      </w:r>
      <w:r>
        <w:t xml:space="preserve"> using other funding sources, such as State Budget funding.</w:t>
      </w:r>
    </w:p>
    <w:p w14:paraId="32227E7D" w14:textId="23BC0029" w:rsidR="00392311" w:rsidRDefault="00392311" w:rsidP="00392311">
      <w:pPr>
        <w:pStyle w:val="Caption"/>
        <w:keepNext/>
      </w:pPr>
      <w:r>
        <w:t>Table 6.</w:t>
      </w:r>
      <w:fldSimple w:instr=" SEQ Table \* ARABIC ">
        <w:r w:rsidR="003C6AA3">
          <w:rPr>
            <w:noProof/>
          </w:rPr>
          <w:t>4</w:t>
        </w:r>
      </w:fldSimple>
      <w:r>
        <w:t xml:space="preserve">: </w:t>
      </w:r>
      <w:r w:rsidR="00414882">
        <w:t>Infrastructure demand, costs</w:t>
      </w:r>
      <w:r w:rsidR="00E5406F">
        <w:t xml:space="preserve">, </w:t>
      </w:r>
      <w:r w:rsidR="00414882">
        <w:t>income</w:t>
      </w:r>
      <w:r w:rsidR="00E5406F">
        <w:t xml:space="preserve"> and funding</w:t>
      </w:r>
    </w:p>
    <w:tbl>
      <w:tblPr>
        <w:tblStyle w:val="TableGrid"/>
        <w:tblW w:w="8600" w:type="dxa"/>
        <w:tblLook w:val="04A0" w:firstRow="1" w:lastRow="0" w:firstColumn="1" w:lastColumn="0" w:noHBand="0" w:noVBand="1"/>
      </w:tblPr>
      <w:tblGrid>
        <w:gridCol w:w="562"/>
        <w:gridCol w:w="3998"/>
        <w:gridCol w:w="1900"/>
        <w:gridCol w:w="2140"/>
      </w:tblGrid>
      <w:tr w:rsidR="00C95493" w:rsidRPr="005C40E0" w14:paraId="2B1569A4" w14:textId="77777777" w:rsidTr="0055221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60" w:type="dxa"/>
            <w:gridSpan w:val="2"/>
            <w:hideMark/>
          </w:tcPr>
          <w:p w14:paraId="320630B6" w14:textId="77777777" w:rsidR="00C95493" w:rsidRPr="005C40E0" w:rsidRDefault="00C95493" w:rsidP="00552219">
            <w:pPr>
              <w:pStyle w:val="TableBodyText"/>
            </w:pPr>
            <w:r w:rsidRPr="005C40E0">
              <w:t>Item / description</w:t>
            </w:r>
          </w:p>
        </w:tc>
        <w:tc>
          <w:tcPr>
            <w:tcW w:w="1900" w:type="dxa"/>
            <w:hideMark/>
          </w:tcPr>
          <w:p w14:paraId="328784B8" w14:textId="77777777" w:rsidR="00C95493" w:rsidRPr="005C40E0" w:rsidRDefault="00C95493" w:rsidP="00552219">
            <w:pPr>
              <w:pStyle w:val="TableBodyText"/>
              <w:cnfStyle w:val="100000000000" w:firstRow="1" w:lastRow="0" w:firstColumn="0" w:lastColumn="0" w:oddVBand="0" w:evenVBand="0" w:oddHBand="0" w:evenHBand="0" w:firstRowFirstColumn="0" w:firstRowLastColumn="0" w:lastRowFirstColumn="0" w:lastRowLastColumn="0"/>
            </w:pPr>
            <w:r w:rsidRPr="005C40E0">
              <w:t>Formula</w:t>
            </w:r>
          </w:p>
        </w:tc>
        <w:tc>
          <w:tcPr>
            <w:tcW w:w="2140" w:type="dxa"/>
            <w:hideMark/>
          </w:tcPr>
          <w:p w14:paraId="13FB4F14" w14:textId="77777777" w:rsidR="00C95493" w:rsidRPr="005C40E0" w:rsidRDefault="00C95493" w:rsidP="00552219">
            <w:pPr>
              <w:pStyle w:val="TableBodyText"/>
              <w:cnfStyle w:val="100000000000" w:firstRow="1" w:lastRow="0" w:firstColumn="0" w:lastColumn="0" w:oddVBand="0" w:evenVBand="0" w:oddHBand="0" w:evenHBand="0" w:firstRowFirstColumn="0" w:firstRowLastColumn="0" w:lastRowFirstColumn="0" w:lastRowLastColumn="0"/>
            </w:pPr>
            <w:r w:rsidRPr="005C40E0">
              <w:t>Value</w:t>
            </w:r>
            <w:r>
              <w:t>*</w:t>
            </w:r>
          </w:p>
        </w:tc>
      </w:tr>
      <w:tr w:rsidR="00C95493" w:rsidRPr="005C40E0" w14:paraId="7ACE375D" w14:textId="77777777" w:rsidTr="00552219">
        <w:trPr>
          <w:trHeight w:val="300"/>
        </w:trPr>
        <w:tc>
          <w:tcPr>
            <w:cnfStyle w:val="001000000000" w:firstRow="0" w:lastRow="0" w:firstColumn="1" w:lastColumn="0" w:oddVBand="0" w:evenVBand="0" w:oddHBand="0" w:evenHBand="0" w:firstRowFirstColumn="0" w:firstRowLastColumn="0" w:lastRowFirstColumn="0" w:lastRowLastColumn="0"/>
            <w:tcW w:w="8600" w:type="dxa"/>
            <w:gridSpan w:val="4"/>
            <w:shd w:val="clear" w:color="auto" w:fill="68878E" w:themeFill="accent3"/>
          </w:tcPr>
          <w:p w14:paraId="6F8274F8" w14:textId="787F26E6" w:rsidR="00C95493" w:rsidRPr="005C40E0" w:rsidRDefault="00C95493" w:rsidP="00552219">
            <w:pPr>
              <w:pStyle w:val="TableBodyText"/>
              <w:rPr>
                <w:b/>
                <w:color w:val="FFFFFF" w:themeColor="background1"/>
                <w:szCs w:val="18"/>
              </w:rPr>
            </w:pPr>
            <w:r w:rsidRPr="005C40E0">
              <w:rPr>
                <w:b/>
                <w:color w:val="FFFFFF" w:themeColor="background1"/>
                <w:szCs w:val="18"/>
              </w:rPr>
              <w:t xml:space="preserve">Infrastructure demand </w:t>
            </w:r>
            <w:r w:rsidR="0014151D">
              <w:rPr>
                <w:b/>
                <w:color w:val="FFFFFF" w:themeColor="background1"/>
                <w:szCs w:val="18"/>
              </w:rPr>
              <w:t xml:space="preserve">and cost </w:t>
            </w:r>
            <w:r w:rsidRPr="005C40E0">
              <w:rPr>
                <w:b/>
                <w:color w:val="FFFFFF" w:themeColor="background1"/>
                <w:szCs w:val="18"/>
              </w:rPr>
              <w:t>reasonably attributed to development</w:t>
            </w:r>
          </w:p>
        </w:tc>
      </w:tr>
      <w:tr w:rsidR="00C95493" w14:paraId="13336FA5" w14:textId="77777777" w:rsidTr="00552219">
        <w:trPr>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542EF2EE" w14:textId="77777777" w:rsidR="00C95493" w:rsidRPr="005C40E0" w:rsidRDefault="00C95493" w:rsidP="00552219">
            <w:pPr>
              <w:pStyle w:val="TableBodyText"/>
              <w:jc w:val="center"/>
              <w:rPr>
                <w:rStyle w:val="BoldCharacter"/>
              </w:rPr>
            </w:pPr>
            <w:r w:rsidRPr="005C40E0">
              <w:rPr>
                <w:rStyle w:val="BoldCharacter"/>
              </w:rPr>
              <w:t>1</w:t>
            </w:r>
          </w:p>
        </w:tc>
        <w:tc>
          <w:tcPr>
            <w:tcW w:w="3998" w:type="dxa"/>
            <w:hideMark/>
          </w:tcPr>
          <w:p w14:paraId="282A6FF3"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Precinct worker population, 2021</w:t>
            </w:r>
          </w:p>
        </w:tc>
        <w:tc>
          <w:tcPr>
            <w:tcW w:w="1900" w:type="dxa"/>
            <w:hideMark/>
          </w:tcPr>
          <w:p w14:paraId="7F158ECC"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A</w:t>
            </w:r>
          </w:p>
        </w:tc>
        <w:tc>
          <w:tcPr>
            <w:tcW w:w="2140" w:type="dxa"/>
            <w:hideMark/>
          </w:tcPr>
          <w:p w14:paraId="791419EC"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1,204 workers</w:t>
            </w:r>
          </w:p>
        </w:tc>
      </w:tr>
      <w:tr w:rsidR="00C95493" w14:paraId="1092F4AE" w14:textId="77777777" w:rsidTr="00552219">
        <w:trPr>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374EB8A0" w14:textId="77777777" w:rsidR="00C95493" w:rsidRPr="005C40E0" w:rsidRDefault="00C95493" w:rsidP="00552219">
            <w:pPr>
              <w:pStyle w:val="TableBodyText"/>
              <w:jc w:val="center"/>
              <w:rPr>
                <w:rStyle w:val="BoldCharacter"/>
              </w:rPr>
            </w:pPr>
            <w:r w:rsidRPr="005C40E0">
              <w:rPr>
                <w:rStyle w:val="BoldCharacter"/>
              </w:rPr>
              <w:t>2</w:t>
            </w:r>
          </w:p>
        </w:tc>
        <w:tc>
          <w:tcPr>
            <w:tcW w:w="3998" w:type="dxa"/>
            <w:hideMark/>
          </w:tcPr>
          <w:p w14:paraId="620DA7FE"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Expected Precinct worker population, 2031</w:t>
            </w:r>
          </w:p>
        </w:tc>
        <w:tc>
          <w:tcPr>
            <w:tcW w:w="1900" w:type="dxa"/>
            <w:hideMark/>
          </w:tcPr>
          <w:p w14:paraId="40F29B42"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B</w:t>
            </w:r>
          </w:p>
        </w:tc>
        <w:tc>
          <w:tcPr>
            <w:tcW w:w="2140" w:type="dxa"/>
            <w:hideMark/>
          </w:tcPr>
          <w:p w14:paraId="363B009A"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2,117 workers</w:t>
            </w:r>
          </w:p>
        </w:tc>
      </w:tr>
      <w:tr w:rsidR="00C95493" w14:paraId="36A6295F" w14:textId="77777777" w:rsidTr="00552219">
        <w:trPr>
          <w:trHeight w:val="540"/>
        </w:trPr>
        <w:tc>
          <w:tcPr>
            <w:cnfStyle w:val="001000000000" w:firstRow="0" w:lastRow="0" w:firstColumn="1" w:lastColumn="0" w:oddVBand="0" w:evenVBand="0" w:oddHBand="0" w:evenHBand="0" w:firstRowFirstColumn="0" w:firstRowLastColumn="0" w:lastRowFirstColumn="0" w:lastRowLastColumn="0"/>
            <w:tcW w:w="562" w:type="dxa"/>
            <w:hideMark/>
          </w:tcPr>
          <w:p w14:paraId="70C17DCA" w14:textId="77777777" w:rsidR="00C95493" w:rsidRPr="005C40E0" w:rsidRDefault="00C95493" w:rsidP="00552219">
            <w:pPr>
              <w:pStyle w:val="TableBodyText"/>
              <w:jc w:val="center"/>
              <w:rPr>
                <w:rStyle w:val="BoldCharacter"/>
              </w:rPr>
            </w:pPr>
            <w:r w:rsidRPr="005C40E0">
              <w:rPr>
                <w:rStyle w:val="BoldCharacter"/>
              </w:rPr>
              <w:t>3</w:t>
            </w:r>
          </w:p>
        </w:tc>
        <w:tc>
          <w:tcPr>
            <w:tcW w:w="3998" w:type="dxa"/>
            <w:hideMark/>
          </w:tcPr>
          <w:p w14:paraId="4A03B2A2"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Expected changed in worker population, 2021-2031</w:t>
            </w:r>
          </w:p>
        </w:tc>
        <w:tc>
          <w:tcPr>
            <w:tcW w:w="1900" w:type="dxa"/>
            <w:hideMark/>
          </w:tcPr>
          <w:p w14:paraId="0AE8BB42"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C = B – A</w:t>
            </w:r>
          </w:p>
        </w:tc>
        <w:tc>
          <w:tcPr>
            <w:tcW w:w="2140" w:type="dxa"/>
            <w:hideMark/>
          </w:tcPr>
          <w:p w14:paraId="1D64949E"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913 workers</w:t>
            </w:r>
          </w:p>
        </w:tc>
      </w:tr>
      <w:tr w:rsidR="00C95493" w14:paraId="607846C4" w14:textId="77777777" w:rsidTr="00552219">
        <w:trPr>
          <w:trHeight w:val="540"/>
        </w:trPr>
        <w:tc>
          <w:tcPr>
            <w:cnfStyle w:val="001000000000" w:firstRow="0" w:lastRow="0" w:firstColumn="1" w:lastColumn="0" w:oddVBand="0" w:evenVBand="0" w:oddHBand="0" w:evenHBand="0" w:firstRowFirstColumn="0" w:firstRowLastColumn="0" w:lastRowFirstColumn="0" w:lastRowLastColumn="0"/>
            <w:tcW w:w="562" w:type="dxa"/>
            <w:hideMark/>
          </w:tcPr>
          <w:p w14:paraId="1F8DEF4A" w14:textId="77777777" w:rsidR="00C95493" w:rsidRPr="005C40E0" w:rsidRDefault="00C95493" w:rsidP="00552219">
            <w:pPr>
              <w:pStyle w:val="TableBodyText"/>
              <w:jc w:val="center"/>
              <w:rPr>
                <w:rStyle w:val="BoldCharacter"/>
              </w:rPr>
            </w:pPr>
            <w:r w:rsidRPr="005C40E0">
              <w:rPr>
                <w:rStyle w:val="BoldCharacter"/>
              </w:rPr>
              <w:t>4</w:t>
            </w:r>
          </w:p>
        </w:tc>
        <w:tc>
          <w:tcPr>
            <w:tcW w:w="3998" w:type="dxa"/>
            <w:hideMark/>
          </w:tcPr>
          <w:p w14:paraId="2321B231"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Expected average annual change in worker population, 2021-2031</w:t>
            </w:r>
          </w:p>
        </w:tc>
        <w:tc>
          <w:tcPr>
            <w:tcW w:w="1900" w:type="dxa"/>
            <w:hideMark/>
          </w:tcPr>
          <w:p w14:paraId="5EBDC024"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D = C ÷ (2031 - 2021)</w:t>
            </w:r>
          </w:p>
        </w:tc>
        <w:tc>
          <w:tcPr>
            <w:tcW w:w="2140" w:type="dxa"/>
            <w:hideMark/>
          </w:tcPr>
          <w:p w14:paraId="308103B7"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91 workers</w:t>
            </w:r>
          </w:p>
        </w:tc>
      </w:tr>
      <w:tr w:rsidR="00C95493" w14:paraId="328B0C3A" w14:textId="77777777" w:rsidTr="00552219">
        <w:trPr>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013FAB64" w14:textId="77777777" w:rsidR="00C95493" w:rsidRPr="005C40E0" w:rsidRDefault="00C95493" w:rsidP="00552219">
            <w:pPr>
              <w:pStyle w:val="TableBodyText"/>
              <w:jc w:val="center"/>
              <w:rPr>
                <w:rStyle w:val="BoldCharacter"/>
              </w:rPr>
            </w:pPr>
            <w:r w:rsidRPr="005C40E0">
              <w:rPr>
                <w:rStyle w:val="BoldCharacter"/>
              </w:rPr>
              <w:t>5</w:t>
            </w:r>
          </w:p>
        </w:tc>
        <w:tc>
          <w:tcPr>
            <w:tcW w:w="3998" w:type="dxa"/>
            <w:hideMark/>
          </w:tcPr>
          <w:p w14:paraId="029EDB2C"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Expected worker population, 2023</w:t>
            </w:r>
          </w:p>
        </w:tc>
        <w:tc>
          <w:tcPr>
            <w:tcW w:w="1900" w:type="dxa"/>
            <w:hideMark/>
          </w:tcPr>
          <w:p w14:paraId="234AD12C"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 xml:space="preserve">E = A + (2 </w:t>
            </w:r>
            <w:r>
              <w:rPr>
                <w:rFonts w:ascii="Symbol" w:hAnsi="Symbol"/>
                <w:szCs w:val="18"/>
              </w:rPr>
              <w:t>´</w:t>
            </w:r>
            <w:r>
              <w:rPr>
                <w:szCs w:val="18"/>
              </w:rPr>
              <w:t xml:space="preserve"> D)</w:t>
            </w:r>
          </w:p>
        </w:tc>
        <w:tc>
          <w:tcPr>
            <w:tcW w:w="2140" w:type="dxa"/>
            <w:hideMark/>
          </w:tcPr>
          <w:p w14:paraId="08474E14"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1,387 workers</w:t>
            </w:r>
          </w:p>
        </w:tc>
      </w:tr>
      <w:tr w:rsidR="00C95493" w14:paraId="183A0BDD" w14:textId="77777777" w:rsidTr="00552219">
        <w:trPr>
          <w:trHeight w:val="540"/>
        </w:trPr>
        <w:tc>
          <w:tcPr>
            <w:cnfStyle w:val="001000000000" w:firstRow="0" w:lastRow="0" w:firstColumn="1" w:lastColumn="0" w:oddVBand="0" w:evenVBand="0" w:oddHBand="0" w:evenHBand="0" w:firstRowFirstColumn="0" w:firstRowLastColumn="0" w:lastRowFirstColumn="0" w:lastRowLastColumn="0"/>
            <w:tcW w:w="562" w:type="dxa"/>
            <w:hideMark/>
          </w:tcPr>
          <w:p w14:paraId="1B60DCAF" w14:textId="77777777" w:rsidR="00C95493" w:rsidRPr="005C40E0" w:rsidRDefault="00C95493" w:rsidP="00552219">
            <w:pPr>
              <w:pStyle w:val="TableBodyText"/>
              <w:jc w:val="center"/>
              <w:rPr>
                <w:rStyle w:val="BoldCharacter"/>
              </w:rPr>
            </w:pPr>
            <w:r w:rsidRPr="005C40E0">
              <w:rPr>
                <w:rStyle w:val="BoldCharacter"/>
              </w:rPr>
              <w:t>6</w:t>
            </w:r>
          </w:p>
        </w:tc>
        <w:tc>
          <w:tcPr>
            <w:tcW w:w="3998" w:type="dxa"/>
            <w:hideMark/>
          </w:tcPr>
          <w:p w14:paraId="6DFEEBF8"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Expected change in worker population, 2023-2031</w:t>
            </w:r>
          </w:p>
        </w:tc>
        <w:tc>
          <w:tcPr>
            <w:tcW w:w="1900" w:type="dxa"/>
            <w:hideMark/>
          </w:tcPr>
          <w:p w14:paraId="67AF68BD"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F = B – E</w:t>
            </w:r>
          </w:p>
        </w:tc>
        <w:tc>
          <w:tcPr>
            <w:tcW w:w="2140" w:type="dxa"/>
            <w:hideMark/>
          </w:tcPr>
          <w:p w14:paraId="4F520296"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730 workers</w:t>
            </w:r>
          </w:p>
        </w:tc>
      </w:tr>
      <w:tr w:rsidR="00C95493" w14:paraId="6B3905C8" w14:textId="77777777" w:rsidTr="00D52F43">
        <w:trPr>
          <w:trHeight w:val="804"/>
        </w:trPr>
        <w:tc>
          <w:tcPr>
            <w:cnfStyle w:val="001000000000" w:firstRow="0" w:lastRow="0" w:firstColumn="1" w:lastColumn="0" w:oddVBand="0" w:evenVBand="0" w:oddHBand="0" w:evenHBand="0" w:firstRowFirstColumn="0" w:firstRowLastColumn="0" w:lastRowFirstColumn="0" w:lastRowLastColumn="0"/>
            <w:tcW w:w="0" w:type="dxa"/>
            <w:hideMark/>
          </w:tcPr>
          <w:p w14:paraId="05E5C8D3" w14:textId="77777777" w:rsidR="00C95493" w:rsidRPr="005C40E0" w:rsidRDefault="00C95493" w:rsidP="00552219">
            <w:pPr>
              <w:pStyle w:val="TableBodyText"/>
              <w:jc w:val="center"/>
              <w:rPr>
                <w:rStyle w:val="BoldCharacter"/>
              </w:rPr>
            </w:pPr>
            <w:r w:rsidRPr="005C40E0">
              <w:rPr>
                <w:rStyle w:val="BoldCharacter"/>
              </w:rPr>
              <w:t>7</w:t>
            </w:r>
          </w:p>
        </w:tc>
        <w:tc>
          <w:tcPr>
            <w:tcW w:w="0" w:type="dxa"/>
            <w:hideMark/>
          </w:tcPr>
          <w:p w14:paraId="5B55E838"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New workers as a % of 2031 worker population (Precinct infrastructure demand reasonably attributed to Precinct development)</w:t>
            </w:r>
          </w:p>
        </w:tc>
        <w:tc>
          <w:tcPr>
            <w:tcW w:w="0" w:type="dxa"/>
            <w:hideMark/>
          </w:tcPr>
          <w:p w14:paraId="09BA9493"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G = F ÷ B</w:t>
            </w:r>
          </w:p>
        </w:tc>
        <w:tc>
          <w:tcPr>
            <w:tcW w:w="0" w:type="dxa"/>
            <w:hideMark/>
          </w:tcPr>
          <w:p w14:paraId="55E271EA"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35%</w:t>
            </w:r>
          </w:p>
        </w:tc>
      </w:tr>
      <w:tr w:rsidR="0014151D" w14:paraId="106FB116" w14:textId="77777777" w:rsidTr="009F5B67">
        <w:trPr>
          <w:trHeight w:val="540"/>
        </w:trPr>
        <w:tc>
          <w:tcPr>
            <w:cnfStyle w:val="001000000000" w:firstRow="0" w:lastRow="0" w:firstColumn="1" w:lastColumn="0" w:oddVBand="0" w:evenVBand="0" w:oddHBand="0" w:evenHBand="0" w:firstRowFirstColumn="0" w:firstRowLastColumn="0" w:lastRowFirstColumn="0" w:lastRowLastColumn="0"/>
            <w:tcW w:w="562" w:type="dxa"/>
            <w:hideMark/>
          </w:tcPr>
          <w:p w14:paraId="06E1283E" w14:textId="77777777" w:rsidR="0014151D" w:rsidRPr="005C40E0" w:rsidRDefault="0014151D" w:rsidP="009F5B67">
            <w:pPr>
              <w:pStyle w:val="TableBodyText"/>
              <w:jc w:val="center"/>
              <w:rPr>
                <w:rStyle w:val="BoldCharacter"/>
              </w:rPr>
            </w:pPr>
            <w:r w:rsidRPr="005C40E0">
              <w:rPr>
                <w:rStyle w:val="BoldCharacter"/>
              </w:rPr>
              <w:t>8</w:t>
            </w:r>
          </w:p>
        </w:tc>
        <w:tc>
          <w:tcPr>
            <w:tcW w:w="3998" w:type="dxa"/>
            <w:hideMark/>
          </w:tcPr>
          <w:p w14:paraId="06D182DB" w14:textId="77777777" w:rsidR="0014151D" w:rsidRDefault="0014151D" w:rsidP="009F5B67">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Precinct infrastructure cost to support new development</w:t>
            </w:r>
          </w:p>
        </w:tc>
        <w:tc>
          <w:tcPr>
            <w:tcW w:w="1900" w:type="dxa"/>
            <w:hideMark/>
          </w:tcPr>
          <w:p w14:paraId="2E95C51B" w14:textId="77777777" w:rsidR="0014151D" w:rsidRDefault="0014151D" w:rsidP="009F5B67">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H</w:t>
            </w:r>
          </w:p>
        </w:tc>
        <w:tc>
          <w:tcPr>
            <w:tcW w:w="2140" w:type="dxa"/>
            <w:hideMark/>
          </w:tcPr>
          <w:p w14:paraId="42B76377" w14:textId="12FED08C" w:rsidR="00090EE9" w:rsidRDefault="0014151D" w:rsidP="009F5B67">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$101</w:t>
            </w:r>
            <w:r w:rsidR="004709AA">
              <w:rPr>
                <w:szCs w:val="18"/>
              </w:rPr>
              <w:t>.5</w:t>
            </w:r>
            <w:r>
              <w:rPr>
                <w:szCs w:val="18"/>
              </w:rPr>
              <w:t>m</w:t>
            </w:r>
          </w:p>
        </w:tc>
      </w:tr>
      <w:tr w:rsidR="0014151D" w14:paraId="17A25711" w14:textId="77777777" w:rsidTr="00D52F43">
        <w:trPr>
          <w:trHeight w:val="540"/>
        </w:trPr>
        <w:tc>
          <w:tcPr>
            <w:cnfStyle w:val="001000000000" w:firstRow="0" w:lastRow="0" w:firstColumn="1" w:lastColumn="0" w:oddVBand="0" w:evenVBand="0" w:oddHBand="0" w:evenHBand="0" w:firstRowFirstColumn="0" w:firstRowLastColumn="0" w:lastRowFirstColumn="0" w:lastRowLastColumn="0"/>
            <w:tcW w:w="0" w:type="dxa"/>
            <w:shd w:val="clear" w:color="auto" w:fill="D3D3D3" w:themeFill="accent6" w:themeFillShade="E6"/>
            <w:hideMark/>
          </w:tcPr>
          <w:p w14:paraId="27E95F34" w14:textId="77777777" w:rsidR="0014151D" w:rsidRPr="005C40E0" w:rsidRDefault="0014151D" w:rsidP="009F5B67">
            <w:pPr>
              <w:pStyle w:val="TableBodyText"/>
              <w:jc w:val="center"/>
              <w:rPr>
                <w:rStyle w:val="BoldCharacter"/>
              </w:rPr>
            </w:pPr>
            <w:r w:rsidRPr="005C40E0">
              <w:rPr>
                <w:rStyle w:val="BoldCharacter"/>
              </w:rPr>
              <w:t>9</w:t>
            </w:r>
          </w:p>
        </w:tc>
        <w:tc>
          <w:tcPr>
            <w:tcW w:w="0" w:type="dxa"/>
            <w:shd w:val="clear" w:color="auto" w:fill="D3D3D3" w:themeFill="accent6" w:themeFillShade="E6"/>
            <w:hideMark/>
          </w:tcPr>
          <w:p w14:paraId="3EF608EF" w14:textId="77777777" w:rsidR="0014151D" w:rsidRDefault="0014151D" w:rsidP="009F5B67">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Precinct infrastructure cost reasonably attributed to Precinct development, 2023-2031</w:t>
            </w:r>
          </w:p>
        </w:tc>
        <w:tc>
          <w:tcPr>
            <w:tcW w:w="0" w:type="dxa"/>
            <w:shd w:val="clear" w:color="auto" w:fill="D3D3D3" w:themeFill="accent6" w:themeFillShade="E6"/>
            <w:hideMark/>
          </w:tcPr>
          <w:p w14:paraId="7FC197C1" w14:textId="77777777" w:rsidR="0014151D" w:rsidRDefault="0014151D" w:rsidP="009F5B67">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I = G </w:t>
            </w:r>
            <w:r>
              <w:rPr>
                <w:rFonts w:ascii="Symbol" w:hAnsi="Symbol"/>
                <w:szCs w:val="18"/>
              </w:rPr>
              <w:t>´</w:t>
            </w:r>
            <w:r>
              <w:rPr>
                <w:szCs w:val="18"/>
              </w:rPr>
              <w:t xml:space="preserve"> H</w:t>
            </w:r>
          </w:p>
        </w:tc>
        <w:tc>
          <w:tcPr>
            <w:tcW w:w="0" w:type="dxa"/>
            <w:shd w:val="clear" w:color="auto" w:fill="D3D3D3" w:themeFill="accent6" w:themeFillShade="E6"/>
            <w:hideMark/>
          </w:tcPr>
          <w:p w14:paraId="40E7CCA3" w14:textId="54C0D53F" w:rsidR="0014151D" w:rsidRDefault="0014151D" w:rsidP="009F5B67">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$35</w:t>
            </w:r>
            <w:r w:rsidR="004709AA">
              <w:rPr>
                <w:szCs w:val="18"/>
              </w:rPr>
              <w:t>.5</w:t>
            </w:r>
            <w:r>
              <w:rPr>
                <w:szCs w:val="18"/>
              </w:rPr>
              <w:t>m</w:t>
            </w:r>
          </w:p>
        </w:tc>
      </w:tr>
      <w:tr w:rsidR="00C95493" w:rsidRPr="0002038D" w14:paraId="5B9A4AEA" w14:textId="77777777" w:rsidTr="00552219">
        <w:tc>
          <w:tcPr>
            <w:cnfStyle w:val="001000000000" w:firstRow="0" w:lastRow="0" w:firstColumn="1" w:lastColumn="0" w:oddVBand="0" w:evenVBand="0" w:oddHBand="0" w:evenHBand="0" w:firstRowFirstColumn="0" w:firstRowLastColumn="0" w:lastRowFirstColumn="0" w:lastRowLastColumn="0"/>
            <w:tcW w:w="8600" w:type="dxa"/>
            <w:gridSpan w:val="4"/>
            <w:shd w:val="clear" w:color="auto" w:fill="68878E" w:themeFill="accent3"/>
          </w:tcPr>
          <w:p w14:paraId="059FB974" w14:textId="77777777" w:rsidR="00C95493" w:rsidRPr="0002038D" w:rsidRDefault="00C95493" w:rsidP="00552219">
            <w:pPr>
              <w:pStyle w:val="TableBodyText"/>
              <w:rPr>
                <w:b/>
                <w:color w:val="FFFFFF" w:themeColor="background1"/>
                <w:szCs w:val="18"/>
              </w:rPr>
            </w:pPr>
            <w:r w:rsidRPr="0002038D">
              <w:rPr>
                <w:b/>
                <w:color w:val="FFFFFF" w:themeColor="background1"/>
                <w:szCs w:val="18"/>
              </w:rPr>
              <w:lastRenderedPageBreak/>
              <w:t>Expected contributions income</w:t>
            </w:r>
          </w:p>
        </w:tc>
      </w:tr>
      <w:tr w:rsidR="00C95493" w14:paraId="5726546E" w14:textId="77777777" w:rsidTr="00552219">
        <w:trPr>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5B9A92D3" w14:textId="77777777" w:rsidR="00C95493" w:rsidRPr="005C40E0" w:rsidRDefault="00C95493" w:rsidP="00552219">
            <w:pPr>
              <w:pStyle w:val="TableBodyText"/>
              <w:jc w:val="center"/>
              <w:rPr>
                <w:rStyle w:val="BoldCharacter"/>
              </w:rPr>
            </w:pPr>
            <w:r w:rsidRPr="005C40E0">
              <w:rPr>
                <w:rStyle w:val="BoldCharacter"/>
              </w:rPr>
              <w:t>10</w:t>
            </w:r>
          </w:p>
        </w:tc>
        <w:tc>
          <w:tcPr>
            <w:tcW w:w="3998" w:type="dxa"/>
            <w:hideMark/>
          </w:tcPr>
          <w:p w14:paraId="53FF8710"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Assumed floor space per worker</w:t>
            </w:r>
          </w:p>
        </w:tc>
        <w:tc>
          <w:tcPr>
            <w:tcW w:w="1900" w:type="dxa"/>
            <w:hideMark/>
          </w:tcPr>
          <w:p w14:paraId="0CED458F"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J</w:t>
            </w:r>
          </w:p>
        </w:tc>
        <w:tc>
          <w:tcPr>
            <w:tcW w:w="2140" w:type="dxa"/>
            <w:hideMark/>
          </w:tcPr>
          <w:p w14:paraId="05924323"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250m</w:t>
            </w:r>
            <w:r>
              <w:rPr>
                <w:szCs w:val="18"/>
                <w:vertAlign w:val="superscript"/>
              </w:rPr>
              <w:t>2</w:t>
            </w:r>
            <w:r>
              <w:rPr>
                <w:szCs w:val="18"/>
              </w:rPr>
              <w:t>/worker</w:t>
            </w:r>
          </w:p>
        </w:tc>
      </w:tr>
      <w:tr w:rsidR="00C95493" w14:paraId="340D513A" w14:textId="77777777" w:rsidTr="00552219">
        <w:trPr>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7481DB12" w14:textId="77777777" w:rsidR="00C95493" w:rsidRPr="005C40E0" w:rsidRDefault="00C95493" w:rsidP="00552219">
            <w:pPr>
              <w:pStyle w:val="TableBodyText"/>
              <w:jc w:val="center"/>
              <w:rPr>
                <w:rStyle w:val="BoldCharacter"/>
              </w:rPr>
            </w:pPr>
            <w:r w:rsidRPr="005C40E0">
              <w:rPr>
                <w:rStyle w:val="BoldCharacter"/>
              </w:rPr>
              <w:t>11</w:t>
            </w:r>
          </w:p>
        </w:tc>
        <w:tc>
          <w:tcPr>
            <w:tcW w:w="3998" w:type="dxa"/>
            <w:hideMark/>
          </w:tcPr>
          <w:p w14:paraId="34BE3CF2"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Assumed development cost (derived from </w:t>
            </w:r>
            <w:r w:rsidRPr="00933447">
              <w:rPr>
                <w:szCs w:val="18"/>
              </w:rPr>
              <w:t>Rawlinson’s construction cost handbook</w:t>
            </w:r>
            <w:r>
              <w:rPr>
                <w:szCs w:val="18"/>
              </w:rPr>
              <w:t>)</w:t>
            </w:r>
          </w:p>
        </w:tc>
        <w:tc>
          <w:tcPr>
            <w:tcW w:w="1900" w:type="dxa"/>
            <w:hideMark/>
          </w:tcPr>
          <w:p w14:paraId="0134F00D"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K</w:t>
            </w:r>
          </w:p>
        </w:tc>
        <w:tc>
          <w:tcPr>
            <w:tcW w:w="2140" w:type="dxa"/>
            <w:hideMark/>
          </w:tcPr>
          <w:p w14:paraId="66E9D7EB"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$2,500/m</w:t>
            </w:r>
            <w:r>
              <w:rPr>
                <w:szCs w:val="18"/>
                <w:vertAlign w:val="superscript"/>
              </w:rPr>
              <w:t>2</w:t>
            </w:r>
          </w:p>
        </w:tc>
      </w:tr>
      <w:tr w:rsidR="00C95493" w14:paraId="282F5E3D" w14:textId="77777777" w:rsidTr="00552219">
        <w:trPr>
          <w:trHeight w:val="300"/>
        </w:trPr>
        <w:tc>
          <w:tcPr>
            <w:cnfStyle w:val="001000000000" w:firstRow="0" w:lastRow="0" w:firstColumn="1" w:lastColumn="0" w:oddVBand="0" w:evenVBand="0" w:oddHBand="0" w:evenHBand="0" w:firstRowFirstColumn="0" w:firstRowLastColumn="0" w:lastRowFirstColumn="0" w:lastRowLastColumn="0"/>
            <w:tcW w:w="562" w:type="dxa"/>
            <w:hideMark/>
          </w:tcPr>
          <w:p w14:paraId="7DF1F0DD" w14:textId="77777777" w:rsidR="00C95493" w:rsidRPr="005C40E0" w:rsidRDefault="00C95493" w:rsidP="00552219">
            <w:pPr>
              <w:pStyle w:val="TableBodyText"/>
              <w:jc w:val="center"/>
              <w:rPr>
                <w:rStyle w:val="BoldCharacter"/>
              </w:rPr>
            </w:pPr>
            <w:r w:rsidRPr="005C40E0">
              <w:rPr>
                <w:rStyle w:val="BoldCharacter"/>
              </w:rPr>
              <w:t>12</w:t>
            </w:r>
          </w:p>
        </w:tc>
        <w:tc>
          <w:tcPr>
            <w:tcW w:w="3998" w:type="dxa"/>
            <w:hideMark/>
          </w:tcPr>
          <w:p w14:paraId="45B24379"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Contribution rate under this Appendix</w:t>
            </w:r>
          </w:p>
        </w:tc>
        <w:tc>
          <w:tcPr>
            <w:tcW w:w="1900" w:type="dxa"/>
            <w:hideMark/>
          </w:tcPr>
          <w:p w14:paraId="62D35617"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L</w:t>
            </w:r>
          </w:p>
        </w:tc>
        <w:tc>
          <w:tcPr>
            <w:tcW w:w="2140" w:type="dxa"/>
            <w:hideMark/>
          </w:tcPr>
          <w:p w14:paraId="609AA817"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3%</w:t>
            </w:r>
          </w:p>
        </w:tc>
      </w:tr>
      <w:tr w:rsidR="00C95493" w14:paraId="2484A4C2" w14:textId="77777777" w:rsidTr="00552219">
        <w:trPr>
          <w:trHeight w:val="300"/>
        </w:trPr>
        <w:tc>
          <w:tcPr>
            <w:cnfStyle w:val="001000000000" w:firstRow="0" w:lastRow="0" w:firstColumn="1" w:lastColumn="0" w:oddVBand="0" w:evenVBand="0" w:oddHBand="0" w:evenHBand="0" w:firstRowFirstColumn="0" w:firstRowLastColumn="0" w:lastRowFirstColumn="0" w:lastRowLastColumn="0"/>
            <w:tcW w:w="562" w:type="dxa"/>
            <w:shd w:val="clear" w:color="auto" w:fill="D3D3D3" w:themeFill="accent6" w:themeFillShade="E6"/>
            <w:hideMark/>
          </w:tcPr>
          <w:p w14:paraId="3C3F0282" w14:textId="77777777" w:rsidR="00C95493" w:rsidRPr="005C40E0" w:rsidRDefault="00C95493" w:rsidP="00552219">
            <w:pPr>
              <w:pStyle w:val="TableBodyText"/>
              <w:jc w:val="center"/>
              <w:rPr>
                <w:rStyle w:val="BoldCharacter"/>
              </w:rPr>
            </w:pPr>
            <w:r w:rsidRPr="005C40E0">
              <w:rPr>
                <w:rStyle w:val="BoldCharacter"/>
              </w:rPr>
              <w:t>13</w:t>
            </w:r>
          </w:p>
        </w:tc>
        <w:tc>
          <w:tcPr>
            <w:tcW w:w="3998" w:type="dxa"/>
            <w:shd w:val="clear" w:color="auto" w:fill="D3D3D3" w:themeFill="accent6" w:themeFillShade="E6"/>
            <w:hideMark/>
          </w:tcPr>
          <w:p w14:paraId="584FFF7B"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Expected contributions income, 2023-2031</w:t>
            </w:r>
          </w:p>
        </w:tc>
        <w:tc>
          <w:tcPr>
            <w:tcW w:w="1900" w:type="dxa"/>
            <w:shd w:val="clear" w:color="auto" w:fill="D3D3D3" w:themeFill="accent6" w:themeFillShade="E6"/>
            <w:hideMark/>
          </w:tcPr>
          <w:p w14:paraId="1008EBC0"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M = F </w:t>
            </w:r>
            <w:r>
              <w:rPr>
                <w:rFonts w:ascii="Symbol" w:hAnsi="Symbol"/>
                <w:szCs w:val="18"/>
              </w:rPr>
              <w:t xml:space="preserve">´ </w:t>
            </w:r>
            <w:r>
              <w:rPr>
                <w:szCs w:val="18"/>
              </w:rPr>
              <w:t xml:space="preserve">J </w:t>
            </w:r>
            <w:r>
              <w:rPr>
                <w:rFonts w:ascii="Symbol" w:hAnsi="Symbol"/>
                <w:szCs w:val="18"/>
              </w:rPr>
              <w:t>´</w:t>
            </w:r>
            <w:r>
              <w:rPr>
                <w:szCs w:val="18"/>
              </w:rPr>
              <w:t xml:space="preserve"> K </w:t>
            </w:r>
            <w:r>
              <w:rPr>
                <w:rFonts w:ascii="Symbol" w:hAnsi="Symbol"/>
                <w:szCs w:val="18"/>
              </w:rPr>
              <w:t>´</w:t>
            </w:r>
            <w:r>
              <w:rPr>
                <w:szCs w:val="18"/>
              </w:rPr>
              <w:t xml:space="preserve"> L</w:t>
            </w:r>
          </w:p>
        </w:tc>
        <w:tc>
          <w:tcPr>
            <w:tcW w:w="2140" w:type="dxa"/>
            <w:shd w:val="clear" w:color="auto" w:fill="D3D3D3" w:themeFill="accent6" w:themeFillShade="E6"/>
            <w:hideMark/>
          </w:tcPr>
          <w:p w14:paraId="4148E4F7"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$13.7m</w:t>
            </w:r>
          </w:p>
        </w:tc>
      </w:tr>
      <w:tr w:rsidR="00C95493" w:rsidRPr="0002038D" w14:paraId="26020735" w14:textId="77777777" w:rsidTr="00552219">
        <w:tc>
          <w:tcPr>
            <w:cnfStyle w:val="001000000000" w:firstRow="0" w:lastRow="0" w:firstColumn="1" w:lastColumn="0" w:oddVBand="0" w:evenVBand="0" w:oddHBand="0" w:evenHBand="0" w:firstRowFirstColumn="0" w:firstRowLastColumn="0" w:lastRowFirstColumn="0" w:lastRowLastColumn="0"/>
            <w:tcW w:w="8600" w:type="dxa"/>
            <w:gridSpan w:val="4"/>
            <w:shd w:val="clear" w:color="auto" w:fill="68878E" w:themeFill="accent3"/>
          </w:tcPr>
          <w:p w14:paraId="0FB175D4" w14:textId="3E96EEA7" w:rsidR="00C95493" w:rsidRPr="0002038D" w:rsidRDefault="005B667C" w:rsidP="00552219">
            <w:pPr>
              <w:pStyle w:val="TableBodyText"/>
              <w:rPr>
                <w:b/>
                <w:color w:val="FFFFFF" w:themeColor="background1"/>
                <w:szCs w:val="18"/>
              </w:rPr>
            </w:pPr>
            <w:r>
              <w:rPr>
                <w:b/>
                <w:color w:val="FFFFFF" w:themeColor="background1"/>
                <w:szCs w:val="18"/>
              </w:rPr>
              <w:t>I</w:t>
            </w:r>
            <w:r w:rsidR="00C95493">
              <w:rPr>
                <w:b/>
                <w:color w:val="FFFFFF" w:themeColor="background1"/>
                <w:szCs w:val="18"/>
              </w:rPr>
              <w:t xml:space="preserve">nfrastructure costs </w:t>
            </w:r>
            <w:r>
              <w:rPr>
                <w:b/>
                <w:color w:val="FFFFFF" w:themeColor="background1"/>
                <w:szCs w:val="18"/>
              </w:rPr>
              <w:t xml:space="preserve">expected </w:t>
            </w:r>
            <w:r w:rsidR="00C95493">
              <w:rPr>
                <w:b/>
                <w:color w:val="FFFFFF" w:themeColor="background1"/>
                <w:szCs w:val="18"/>
              </w:rPr>
              <w:t>to be funded from contributions</w:t>
            </w:r>
          </w:p>
        </w:tc>
      </w:tr>
      <w:tr w:rsidR="00C95493" w14:paraId="53264A88" w14:textId="77777777" w:rsidTr="00552219">
        <w:trPr>
          <w:trHeight w:val="804"/>
        </w:trPr>
        <w:tc>
          <w:tcPr>
            <w:cnfStyle w:val="001000000000" w:firstRow="0" w:lastRow="0" w:firstColumn="1" w:lastColumn="0" w:oddVBand="0" w:evenVBand="0" w:oddHBand="0" w:evenHBand="0" w:firstRowFirstColumn="0" w:firstRowLastColumn="0" w:lastRowFirstColumn="0" w:lastRowLastColumn="0"/>
            <w:tcW w:w="562" w:type="dxa"/>
            <w:hideMark/>
          </w:tcPr>
          <w:p w14:paraId="36DB30C8" w14:textId="77777777" w:rsidR="00C95493" w:rsidRPr="005C40E0" w:rsidRDefault="00C95493" w:rsidP="00552219">
            <w:pPr>
              <w:pStyle w:val="TableBodyText"/>
              <w:jc w:val="center"/>
              <w:rPr>
                <w:rStyle w:val="BoldCharacter"/>
              </w:rPr>
            </w:pPr>
            <w:r w:rsidRPr="005C40E0">
              <w:rPr>
                <w:rStyle w:val="BoldCharacter"/>
              </w:rPr>
              <w:t>14</w:t>
            </w:r>
          </w:p>
        </w:tc>
        <w:tc>
          <w:tcPr>
            <w:tcW w:w="3998" w:type="dxa"/>
            <w:hideMark/>
          </w:tcPr>
          <w:p w14:paraId="11EB28CC"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1% of 3% contribution to be retained by Council and applied to LGA-wide works schedule</w:t>
            </w:r>
          </w:p>
        </w:tc>
        <w:tc>
          <w:tcPr>
            <w:tcW w:w="1900" w:type="dxa"/>
            <w:hideMark/>
          </w:tcPr>
          <w:p w14:paraId="0588E02C"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 xml:space="preserve">N = 1/3 </w:t>
            </w:r>
            <w:r>
              <w:rPr>
                <w:rFonts w:ascii="Symbol" w:hAnsi="Symbol"/>
                <w:szCs w:val="18"/>
              </w:rPr>
              <w:t>´</w:t>
            </w:r>
            <w:r>
              <w:rPr>
                <w:szCs w:val="18"/>
              </w:rPr>
              <w:t xml:space="preserve"> M</w:t>
            </w:r>
          </w:p>
        </w:tc>
        <w:tc>
          <w:tcPr>
            <w:tcW w:w="2140" w:type="dxa"/>
            <w:hideMark/>
          </w:tcPr>
          <w:p w14:paraId="6F0CA517"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$4.6m</w:t>
            </w:r>
          </w:p>
        </w:tc>
      </w:tr>
      <w:tr w:rsidR="00C95493" w14:paraId="146AB103" w14:textId="77777777" w:rsidTr="00552219">
        <w:trPr>
          <w:trHeight w:val="804"/>
        </w:trPr>
        <w:tc>
          <w:tcPr>
            <w:cnfStyle w:val="001000000000" w:firstRow="0" w:lastRow="0" w:firstColumn="1" w:lastColumn="0" w:oddVBand="0" w:evenVBand="0" w:oddHBand="0" w:evenHBand="0" w:firstRowFirstColumn="0" w:firstRowLastColumn="0" w:lastRowFirstColumn="0" w:lastRowLastColumn="0"/>
            <w:tcW w:w="562" w:type="dxa"/>
            <w:hideMark/>
          </w:tcPr>
          <w:p w14:paraId="7F0621E3" w14:textId="77777777" w:rsidR="00C95493" w:rsidRPr="005C40E0" w:rsidRDefault="00C95493" w:rsidP="00552219">
            <w:pPr>
              <w:pStyle w:val="TableBodyText"/>
              <w:jc w:val="center"/>
              <w:rPr>
                <w:rStyle w:val="BoldCharacter"/>
              </w:rPr>
            </w:pPr>
            <w:r w:rsidRPr="005C40E0">
              <w:rPr>
                <w:rStyle w:val="BoldCharacter"/>
              </w:rPr>
              <w:t>15</w:t>
            </w:r>
          </w:p>
        </w:tc>
        <w:tc>
          <w:tcPr>
            <w:tcW w:w="3998" w:type="dxa"/>
            <w:hideMark/>
          </w:tcPr>
          <w:p w14:paraId="294F038B"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2% of 3% contribution to be transferred to RGDC to help fund works to be delivered by RGDC identified in s6.14 of this Appendix</w:t>
            </w:r>
          </w:p>
        </w:tc>
        <w:tc>
          <w:tcPr>
            <w:tcW w:w="1900" w:type="dxa"/>
            <w:hideMark/>
          </w:tcPr>
          <w:p w14:paraId="5747AB8F"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 xml:space="preserve">O = 2/3 </w:t>
            </w:r>
            <w:r>
              <w:rPr>
                <w:rFonts w:ascii="Symbol" w:hAnsi="Symbol"/>
                <w:szCs w:val="18"/>
              </w:rPr>
              <w:t>´</w:t>
            </w:r>
            <w:r>
              <w:rPr>
                <w:szCs w:val="18"/>
              </w:rPr>
              <w:t xml:space="preserve"> M</w:t>
            </w:r>
          </w:p>
        </w:tc>
        <w:tc>
          <w:tcPr>
            <w:tcW w:w="2140" w:type="dxa"/>
            <w:hideMark/>
          </w:tcPr>
          <w:p w14:paraId="738D7266"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$9.1m</w:t>
            </w:r>
          </w:p>
        </w:tc>
      </w:tr>
      <w:tr w:rsidR="00C95493" w14:paraId="4349616F" w14:textId="77777777" w:rsidTr="00552219">
        <w:trPr>
          <w:trHeight w:val="540"/>
        </w:trPr>
        <w:tc>
          <w:tcPr>
            <w:cnfStyle w:val="001000000000" w:firstRow="0" w:lastRow="0" w:firstColumn="1" w:lastColumn="0" w:oddVBand="0" w:evenVBand="0" w:oddHBand="0" w:evenHBand="0" w:firstRowFirstColumn="0" w:firstRowLastColumn="0" w:lastRowFirstColumn="0" w:lastRowLastColumn="0"/>
            <w:tcW w:w="562" w:type="dxa"/>
            <w:shd w:val="clear" w:color="auto" w:fill="D3D3D3" w:themeFill="accent6" w:themeFillShade="E6"/>
            <w:hideMark/>
          </w:tcPr>
          <w:p w14:paraId="5C15809A" w14:textId="77777777" w:rsidR="00C95493" w:rsidRPr="005C40E0" w:rsidRDefault="00C95493" w:rsidP="00552219">
            <w:pPr>
              <w:pStyle w:val="TableBodyText"/>
              <w:jc w:val="center"/>
              <w:rPr>
                <w:rStyle w:val="BoldCharacter"/>
              </w:rPr>
            </w:pPr>
            <w:r w:rsidRPr="005C40E0">
              <w:rPr>
                <w:rStyle w:val="BoldCharacter"/>
              </w:rPr>
              <w:t>16</w:t>
            </w:r>
          </w:p>
        </w:tc>
        <w:tc>
          <w:tcPr>
            <w:tcW w:w="3998" w:type="dxa"/>
            <w:shd w:val="clear" w:color="auto" w:fill="D3D3D3" w:themeFill="accent6" w:themeFillShade="E6"/>
            <w:hideMark/>
          </w:tcPr>
          <w:p w14:paraId="3FF37CD8"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Proportion of RGDC Precinct works cost to be funded using contributions under this Appendix</w:t>
            </w:r>
          </w:p>
        </w:tc>
        <w:tc>
          <w:tcPr>
            <w:tcW w:w="1900" w:type="dxa"/>
            <w:shd w:val="clear" w:color="auto" w:fill="D3D3D3" w:themeFill="accent6" w:themeFillShade="E6"/>
            <w:hideMark/>
          </w:tcPr>
          <w:p w14:paraId="7B094FB2"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t>P = O ÷ H</w:t>
            </w:r>
          </w:p>
        </w:tc>
        <w:tc>
          <w:tcPr>
            <w:tcW w:w="2140" w:type="dxa"/>
            <w:shd w:val="clear" w:color="auto" w:fill="D3D3D3" w:themeFill="accent6" w:themeFillShade="E6"/>
            <w:hideMark/>
          </w:tcPr>
          <w:p w14:paraId="2F4348B7" w14:textId="77777777" w:rsidR="00C95493" w:rsidRDefault="00C95493" w:rsidP="00552219">
            <w:pPr>
              <w:pStyle w:val="TableBodyText"/>
              <w:cnfStyle w:val="000000000000" w:firstRow="0" w:lastRow="0" w:firstColumn="0" w:lastColumn="0" w:oddVBand="0" w:evenVBand="0" w:oddHBand="0" w:evenHBand="0" w:firstRowFirstColumn="0" w:firstRowLastColumn="0" w:lastRowFirstColumn="0" w:lastRowLastColumn="0"/>
              <w:rPr>
                <w:szCs w:val="18"/>
              </w:rPr>
            </w:pPr>
            <w:r>
              <w:rPr>
                <w:szCs w:val="18"/>
              </w:rPr>
              <w:t>9%</w:t>
            </w:r>
          </w:p>
        </w:tc>
      </w:tr>
    </w:tbl>
    <w:p w14:paraId="1846B8CD" w14:textId="015551F8" w:rsidR="001C4FB6" w:rsidRPr="001C4FB6" w:rsidRDefault="00624FA1" w:rsidP="009D13A6">
      <w:pPr>
        <w:pStyle w:val="AppendixSubHeading"/>
      </w:pPr>
      <w:bookmarkStart w:id="13" w:name="_Ref146094602"/>
      <w:r>
        <w:t xml:space="preserve">Infrastructure </w:t>
      </w:r>
      <w:r w:rsidR="0007098F">
        <w:t>schedule</w:t>
      </w:r>
      <w:bookmarkEnd w:id="13"/>
    </w:p>
    <w:p w14:paraId="0D4F9D9A" w14:textId="21065F23" w:rsidR="00C749EC" w:rsidRDefault="00927DF1" w:rsidP="001C4FB6">
      <w:pPr>
        <w:rPr>
          <w:rFonts w:cs="Leelawadee UI Semilight"/>
        </w:rPr>
      </w:pPr>
      <w:r>
        <w:rPr>
          <w:rFonts w:cs="Leelawadee UI Semilight"/>
        </w:rPr>
        <w:t>A</w:t>
      </w:r>
      <w:r w:rsidR="000774DF">
        <w:rPr>
          <w:rFonts w:cs="Leelawadee UI Semilight"/>
        </w:rPr>
        <w:t>n</w:t>
      </w:r>
      <w:r>
        <w:rPr>
          <w:rFonts w:cs="Leelawadee UI Semilight"/>
        </w:rPr>
        <w:t xml:space="preserve"> </w:t>
      </w:r>
      <w:r w:rsidR="000774DF">
        <w:rPr>
          <w:rFonts w:cs="Leelawadee UI Semilight"/>
        </w:rPr>
        <w:t xml:space="preserve">infrastructure </w:t>
      </w:r>
      <w:r>
        <w:rPr>
          <w:rFonts w:cs="Leelawadee UI Semilight"/>
        </w:rPr>
        <w:t>schedule is shown in the table below.</w:t>
      </w:r>
      <w:r w:rsidR="00EF6111">
        <w:rPr>
          <w:rFonts w:cs="Leelawadee UI Semilight"/>
        </w:rPr>
        <w:t xml:space="preserve"> </w:t>
      </w:r>
    </w:p>
    <w:p w14:paraId="2B0F1218" w14:textId="40F09E00" w:rsidR="00EF6111" w:rsidRDefault="00C749EC" w:rsidP="00C749EC">
      <w:pPr>
        <w:rPr>
          <w:rFonts w:cs="Leelawadee UI Semilight"/>
        </w:rPr>
      </w:pPr>
      <w:r>
        <w:rPr>
          <w:rFonts w:cs="Leelawadee UI Semilight"/>
        </w:rPr>
        <w:t xml:space="preserve">For each works item, it includes a description, estimated cost, and expected delivery timeframe. In summary, it contains a total of </w:t>
      </w:r>
      <w:r w:rsidR="00EF6111">
        <w:rPr>
          <w:rFonts w:cs="Leelawadee UI Semilight"/>
        </w:rPr>
        <w:t>five (5) works with a total estimated cost of $101</w:t>
      </w:r>
      <w:r w:rsidR="009862BC">
        <w:rPr>
          <w:rFonts w:cs="Leelawadee UI Semilight"/>
        </w:rPr>
        <w:t>.5</w:t>
      </w:r>
      <w:r w:rsidR="00EF6111">
        <w:rPr>
          <w:rFonts w:cs="Leelawadee UI Semilight"/>
        </w:rPr>
        <w:t xml:space="preserve"> million. Works comprise </w:t>
      </w:r>
      <w:r w:rsidR="002F3B76">
        <w:rPr>
          <w:rFonts w:cs="Leelawadee UI Semilight"/>
        </w:rPr>
        <w:t xml:space="preserve">road-related works, drainage works, utilities works and </w:t>
      </w:r>
      <w:r>
        <w:rPr>
          <w:rFonts w:cs="Leelawadee UI Semilight"/>
        </w:rPr>
        <w:t>two new rail crossings. All works items are expected to be completed in 2024.</w:t>
      </w:r>
      <w:r w:rsidR="0019697D">
        <w:rPr>
          <w:rFonts w:cs="Leelawadee UI Semilight"/>
        </w:rPr>
        <w:t xml:space="preserve"> The schedule also includes </w:t>
      </w:r>
      <w:r w:rsidR="00A5547A">
        <w:rPr>
          <w:rFonts w:cs="Leelawadee UI Semilight"/>
        </w:rPr>
        <w:t>a</w:t>
      </w:r>
      <w:r w:rsidR="000C6F00">
        <w:rPr>
          <w:rFonts w:cs="Leelawadee UI Semilight"/>
        </w:rPr>
        <w:t>n item</w:t>
      </w:r>
      <w:r w:rsidR="001221B2">
        <w:rPr>
          <w:rFonts w:cs="Leelawadee UI Semilight"/>
        </w:rPr>
        <w:t xml:space="preserve"> </w:t>
      </w:r>
      <w:r w:rsidR="00A430D7">
        <w:rPr>
          <w:rFonts w:cs="Leelawadee UI Semilight"/>
        </w:rPr>
        <w:t>associated</w:t>
      </w:r>
      <w:r w:rsidR="001221B2">
        <w:rPr>
          <w:rFonts w:cs="Leelawadee UI Semilight"/>
        </w:rPr>
        <w:t xml:space="preserve"> to the </w:t>
      </w:r>
      <w:r w:rsidR="00A430D7">
        <w:rPr>
          <w:rFonts w:cs="Leelawadee UI Semilight"/>
        </w:rPr>
        <w:t xml:space="preserve">administration costs related to this </w:t>
      </w:r>
      <w:r w:rsidR="00AB50C5">
        <w:rPr>
          <w:rFonts w:cs="Leelawadee UI Semilight"/>
        </w:rPr>
        <w:t>A</w:t>
      </w:r>
      <w:r w:rsidR="00A430D7">
        <w:rPr>
          <w:rFonts w:cs="Leelawadee UI Semilight"/>
        </w:rPr>
        <w:t xml:space="preserve">ppendix. </w:t>
      </w:r>
      <w:r w:rsidR="00A5547A">
        <w:rPr>
          <w:rFonts w:cs="Leelawadee UI Semilight"/>
        </w:rPr>
        <w:t xml:space="preserve"> </w:t>
      </w:r>
    </w:p>
    <w:p w14:paraId="4CF46807" w14:textId="7B33C178" w:rsidR="00D472BD" w:rsidRDefault="00AC5DD6" w:rsidP="00057D77">
      <w:pPr>
        <w:pStyle w:val="Caption"/>
        <w:keepNext/>
      </w:pPr>
      <w:r>
        <w:lastRenderedPageBreak/>
        <w:t>Table 6.</w:t>
      </w:r>
      <w:fldSimple w:instr=" SEQ Table \* ARABIC ">
        <w:r w:rsidR="003C6AA3">
          <w:rPr>
            <w:noProof/>
          </w:rPr>
          <w:t>5</w:t>
        </w:r>
      </w:fldSimple>
      <w:r>
        <w:t xml:space="preserve">: </w:t>
      </w:r>
      <w:r w:rsidR="00A97EA1">
        <w:t xml:space="preserve">Infrastructure </w:t>
      </w:r>
      <w:r w:rsidR="00253BB9">
        <w:t>S</w:t>
      </w:r>
      <w:r w:rsidR="00221DBF">
        <w:t>chedule</w:t>
      </w:r>
    </w:p>
    <w:tbl>
      <w:tblPr>
        <w:tblStyle w:val="TableGrid"/>
        <w:tblW w:w="5000" w:type="pct"/>
        <w:tblLook w:val="04A0" w:firstRow="1" w:lastRow="0" w:firstColumn="1" w:lastColumn="0" w:noHBand="0" w:noVBand="1"/>
      </w:tblPr>
      <w:tblGrid>
        <w:gridCol w:w="703"/>
        <w:gridCol w:w="1702"/>
        <w:gridCol w:w="2835"/>
        <w:gridCol w:w="1559"/>
        <w:gridCol w:w="1694"/>
      </w:tblGrid>
      <w:tr w:rsidR="00C63ADF" w:rsidRPr="0067468F" w14:paraId="78EBFA3D" w14:textId="77777777" w:rsidTr="00C63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 w:type="pct"/>
          </w:tcPr>
          <w:p w14:paraId="52C8282F" w14:textId="77777777" w:rsidR="00C63ADF" w:rsidRPr="0067468F" w:rsidRDefault="00C63ADF" w:rsidP="00C63ADF">
            <w:pPr>
              <w:keepNext/>
              <w:keepLines/>
              <w:jc w:val="center"/>
            </w:pPr>
            <w:r w:rsidRPr="0067468F">
              <w:t>Item</w:t>
            </w:r>
          </w:p>
        </w:tc>
        <w:tc>
          <w:tcPr>
            <w:tcW w:w="1002" w:type="pct"/>
            <w:hideMark/>
          </w:tcPr>
          <w:p w14:paraId="63BA6B57" w14:textId="77777777" w:rsidR="00C63ADF" w:rsidRPr="0067468F" w:rsidRDefault="00C63ADF" w:rsidP="00C63ADF">
            <w:pPr>
              <w:keepNext/>
              <w:keepLines/>
              <w:jc w:val="center"/>
              <w:cnfStyle w:val="100000000000" w:firstRow="1" w:lastRow="0" w:firstColumn="0" w:lastColumn="0" w:oddVBand="0" w:evenVBand="0" w:oddHBand="0" w:evenHBand="0" w:firstRowFirstColumn="0" w:firstRowLastColumn="0" w:lastRowFirstColumn="0" w:lastRowLastColumn="0"/>
            </w:pPr>
            <w:r>
              <w:t>Description 1</w:t>
            </w:r>
          </w:p>
        </w:tc>
        <w:tc>
          <w:tcPr>
            <w:tcW w:w="1669" w:type="pct"/>
            <w:hideMark/>
          </w:tcPr>
          <w:p w14:paraId="01B4D867" w14:textId="77777777" w:rsidR="00C63ADF" w:rsidRPr="0067468F" w:rsidRDefault="00C63ADF" w:rsidP="00C63ADF">
            <w:pPr>
              <w:keepNext/>
              <w:keepLines/>
              <w:jc w:val="center"/>
              <w:cnfStyle w:val="100000000000" w:firstRow="1" w:lastRow="0" w:firstColumn="0" w:lastColumn="0" w:oddVBand="0" w:evenVBand="0" w:oddHBand="0" w:evenHBand="0" w:firstRowFirstColumn="0" w:firstRowLastColumn="0" w:lastRowFirstColumn="0" w:lastRowLastColumn="0"/>
            </w:pPr>
            <w:r w:rsidRPr="0067468F">
              <w:t>Description</w:t>
            </w:r>
            <w:r>
              <w:t xml:space="preserve"> 2</w:t>
            </w:r>
          </w:p>
        </w:tc>
        <w:tc>
          <w:tcPr>
            <w:tcW w:w="918" w:type="pct"/>
            <w:hideMark/>
          </w:tcPr>
          <w:p w14:paraId="11DE9B32" w14:textId="77777777" w:rsidR="00C63ADF" w:rsidRPr="0067468F" w:rsidRDefault="00C63ADF" w:rsidP="00C63ADF">
            <w:pPr>
              <w:keepNext/>
              <w:keepLines/>
              <w:jc w:val="center"/>
              <w:cnfStyle w:val="100000000000" w:firstRow="1" w:lastRow="0" w:firstColumn="0" w:lastColumn="0" w:oddVBand="0" w:evenVBand="0" w:oddHBand="0" w:evenHBand="0" w:firstRowFirstColumn="0" w:firstRowLastColumn="0" w:lastRowFirstColumn="0" w:lastRowLastColumn="0"/>
            </w:pPr>
            <w:r>
              <w:t>Estimated c</w:t>
            </w:r>
            <w:r w:rsidRPr="0067468F">
              <w:t>ost</w:t>
            </w:r>
          </w:p>
        </w:tc>
        <w:tc>
          <w:tcPr>
            <w:tcW w:w="997" w:type="pct"/>
            <w:hideMark/>
          </w:tcPr>
          <w:p w14:paraId="23F4945A" w14:textId="77777777" w:rsidR="00C63ADF" w:rsidRPr="0067468F" w:rsidRDefault="00C63ADF" w:rsidP="00C63ADF">
            <w:pPr>
              <w:keepNext/>
              <w:keepLines/>
              <w:jc w:val="center"/>
              <w:cnfStyle w:val="100000000000" w:firstRow="1" w:lastRow="0" w:firstColumn="0" w:lastColumn="0" w:oddVBand="0" w:evenVBand="0" w:oddHBand="0" w:evenHBand="0" w:firstRowFirstColumn="0" w:firstRowLastColumn="0" w:lastRowFirstColumn="0" w:lastRowLastColumn="0"/>
            </w:pPr>
            <w:r>
              <w:t>Expected d</w:t>
            </w:r>
            <w:r w:rsidRPr="0067468F">
              <w:t xml:space="preserve">elivery </w:t>
            </w:r>
          </w:p>
        </w:tc>
      </w:tr>
      <w:tr w:rsidR="00C63ADF" w14:paraId="144F446D" w14:textId="77777777" w:rsidTr="00C63ADF">
        <w:tc>
          <w:tcPr>
            <w:cnfStyle w:val="001000000000" w:firstRow="0" w:lastRow="0" w:firstColumn="1" w:lastColumn="0" w:oddVBand="0" w:evenVBand="0" w:oddHBand="0" w:evenHBand="0" w:firstRowFirstColumn="0" w:firstRowLastColumn="0" w:lastRowFirstColumn="0" w:lastRowLastColumn="0"/>
            <w:tcW w:w="414" w:type="pct"/>
          </w:tcPr>
          <w:p w14:paraId="0FEBE32F" w14:textId="77777777" w:rsidR="00C63ADF" w:rsidRPr="0067468F" w:rsidRDefault="00C63ADF" w:rsidP="00C63ADF">
            <w:pPr>
              <w:keepNext/>
              <w:keepLines/>
              <w:jc w:val="center"/>
              <w:rPr>
                <w:rStyle w:val="BoldCharacter"/>
              </w:rPr>
            </w:pPr>
            <w:r w:rsidRPr="0067468F">
              <w:rPr>
                <w:rStyle w:val="BoldCharacter"/>
              </w:rPr>
              <w:t>1</w:t>
            </w:r>
          </w:p>
        </w:tc>
        <w:tc>
          <w:tcPr>
            <w:tcW w:w="1002" w:type="pct"/>
            <w:hideMark/>
          </w:tcPr>
          <w:p w14:paraId="677740A3" w14:textId="77777777" w:rsidR="00C63ADF" w:rsidRDefault="00C63ADF" w:rsidP="00C63ADF">
            <w:pPr>
              <w:keepNext/>
              <w:keepLines/>
              <w:cnfStyle w:val="000000000000" w:firstRow="0" w:lastRow="0" w:firstColumn="0" w:lastColumn="0" w:oddVBand="0" w:evenVBand="0" w:oddHBand="0" w:evenHBand="0" w:firstRowFirstColumn="0" w:firstRowLastColumn="0" w:lastRowFirstColumn="0" w:lastRowLastColumn="0"/>
            </w:pPr>
            <w:r w:rsidRPr="00A552DA">
              <w:t>Brolgan</w:t>
            </w:r>
            <w:r>
              <w:t xml:space="preserve"> Road - Stage 1</w:t>
            </w:r>
          </w:p>
        </w:tc>
        <w:tc>
          <w:tcPr>
            <w:tcW w:w="1669" w:type="pct"/>
            <w:hideMark/>
          </w:tcPr>
          <w:p w14:paraId="64F7A0C1" w14:textId="6AA43464" w:rsidR="00C63ADF" w:rsidRDefault="00C63ADF" w:rsidP="00C63ADF">
            <w:pPr>
              <w:keepNext/>
              <w:keepLines/>
              <w:cnfStyle w:val="000000000000" w:firstRow="0" w:lastRow="0" w:firstColumn="0" w:lastColumn="0" w:oddVBand="0" w:evenVBand="0" w:oddHBand="0" w:evenHBand="0" w:firstRowFirstColumn="0" w:firstRowLastColumn="0" w:lastRowFirstColumn="0" w:lastRowLastColumn="0"/>
            </w:pPr>
            <w:r>
              <w:t xml:space="preserve">Civil works associated </w:t>
            </w:r>
            <w:r w:rsidR="001170EF">
              <w:t xml:space="preserve">with </w:t>
            </w:r>
            <w:r>
              <w:t>delivery of new roadway</w:t>
            </w:r>
          </w:p>
        </w:tc>
        <w:tc>
          <w:tcPr>
            <w:tcW w:w="918" w:type="pct"/>
            <w:hideMark/>
          </w:tcPr>
          <w:p w14:paraId="0ADEE967" w14:textId="77777777" w:rsidR="00C63ADF" w:rsidRDefault="00C63ADF" w:rsidP="00C63ADF">
            <w:pPr>
              <w:keepNext/>
              <w:keepLines/>
              <w:jc w:val="center"/>
              <w:cnfStyle w:val="000000000000" w:firstRow="0" w:lastRow="0" w:firstColumn="0" w:lastColumn="0" w:oddVBand="0" w:evenVBand="0" w:oddHBand="0" w:evenHBand="0" w:firstRowFirstColumn="0" w:firstRowLastColumn="0" w:lastRowFirstColumn="0" w:lastRowLastColumn="0"/>
            </w:pPr>
            <w:r>
              <w:t>$46.5M</w:t>
            </w:r>
          </w:p>
        </w:tc>
        <w:tc>
          <w:tcPr>
            <w:tcW w:w="997" w:type="pct"/>
            <w:hideMark/>
          </w:tcPr>
          <w:p w14:paraId="24ACCD5E" w14:textId="77777777" w:rsidR="00C63ADF" w:rsidRDefault="00C63ADF" w:rsidP="00C63ADF">
            <w:pPr>
              <w:keepNext/>
              <w:keepLines/>
              <w:jc w:val="center"/>
              <w:cnfStyle w:val="000000000000" w:firstRow="0" w:lastRow="0" w:firstColumn="0" w:lastColumn="0" w:oddVBand="0" w:evenVBand="0" w:oddHBand="0" w:evenHBand="0" w:firstRowFirstColumn="0" w:firstRowLastColumn="0" w:lastRowFirstColumn="0" w:lastRowLastColumn="0"/>
            </w:pPr>
            <w:r>
              <w:t>2024</w:t>
            </w:r>
          </w:p>
        </w:tc>
      </w:tr>
      <w:tr w:rsidR="00C63ADF" w14:paraId="34C48D94" w14:textId="77777777" w:rsidTr="00C63ADF">
        <w:tc>
          <w:tcPr>
            <w:cnfStyle w:val="001000000000" w:firstRow="0" w:lastRow="0" w:firstColumn="1" w:lastColumn="0" w:oddVBand="0" w:evenVBand="0" w:oddHBand="0" w:evenHBand="0" w:firstRowFirstColumn="0" w:firstRowLastColumn="0" w:lastRowFirstColumn="0" w:lastRowLastColumn="0"/>
            <w:tcW w:w="414" w:type="pct"/>
          </w:tcPr>
          <w:p w14:paraId="4000C2B1" w14:textId="77777777" w:rsidR="00C63ADF" w:rsidRPr="0067468F" w:rsidRDefault="00C63ADF" w:rsidP="00C63ADF">
            <w:pPr>
              <w:keepNext/>
              <w:keepLines/>
              <w:jc w:val="center"/>
              <w:rPr>
                <w:rStyle w:val="BoldCharacter"/>
              </w:rPr>
            </w:pPr>
            <w:r w:rsidRPr="0067468F">
              <w:rPr>
                <w:rStyle w:val="BoldCharacter"/>
              </w:rPr>
              <w:t>2</w:t>
            </w:r>
          </w:p>
        </w:tc>
        <w:tc>
          <w:tcPr>
            <w:tcW w:w="1002" w:type="pct"/>
            <w:hideMark/>
          </w:tcPr>
          <w:p w14:paraId="7839E9DF" w14:textId="77777777" w:rsidR="00C63ADF" w:rsidRDefault="00C63ADF" w:rsidP="00C63ADF">
            <w:pPr>
              <w:keepNext/>
              <w:keepLines/>
              <w:cnfStyle w:val="000000000000" w:firstRow="0" w:lastRow="0" w:firstColumn="0" w:lastColumn="0" w:oddVBand="0" w:evenVBand="0" w:oddHBand="0" w:evenHBand="0" w:firstRowFirstColumn="0" w:firstRowLastColumn="0" w:lastRowFirstColumn="0" w:lastRowLastColumn="0"/>
            </w:pPr>
            <w:r w:rsidRPr="00A552DA">
              <w:t>Brolgan</w:t>
            </w:r>
            <w:r>
              <w:t xml:space="preserve"> Road - Stage 1</w:t>
            </w:r>
          </w:p>
        </w:tc>
        <w:tc>
          <w:tcPr>
            <w:tcW w:w="1669" w:type="pct"/>
            <w:hideMark/>
          </w:tcPr>
          <w:p w14:paraId="60CE0D97" w14:textId="77777777" w:rsidR="00C63ADF" w:rsidRDefault="00C63ADF" w:rsidP="00C63ADF">
            <w:pPr>
              <w:keepNext/>
              <w:keepLines/>
              <w:cnfStyle w:val="000000000000" w:firstRow="0" w:lastRow="0" w:firstColumn="0" w:lastColumn="0" w:oddVBand="0" w:evenVBand="0" w:oddHBand="0" w:evenHBand="0" w:firstRowFirstColumn="0" w:firstRowLastColumn="0" w:lastRowFirstColumn="0" w:lastRowLastColumn="0"/>
            </w:pPr>
            <w:r>
              <w:t xml:space="preserve">Provision of landscaping and street lighting </w:t>
            </w:r>
          </w:p>
        </w:tc>
        <w:tc>
          <w:tcPr>
            <w:tcW w:w="918" w:type="pct"/>
            <w:hideMark/>
          </w:tcPr>
          <w:p w14:paraId="5BEC442D" w14:textId="77777777" w:rsidR="00C63ADF" w:rsidRDefault="00C63ADF" w:rsidP="00C63ADF">
            <w:pPr>
              <w:keepNext/>
              <w:keepLines/>
              <w:jc w:val="center"/>
              <w:cnfStyle w:val="000000000000" w:firstRow="0" w:lastRow="0" w:firstColumn="0" w:lastColumn="0" w:oddVBand="0" w:evenVBand="0" w:oddHBand="0" w:evenHBand="0" w:firstRowFirstColumn="0" w:firstRowLastColumn="0" w:lastRowFirstColumn="0" w:lastRowLastColumn="0"/>
            </w:pPr>
            <w:r>
              <w:t>$6M</w:t>
            </w:r>
          </w:p>
        </w:tc>
        <w:tc>
          <w:tcPr>
            <w:tcW w:w="997" w:type="pct"/>
            <w:hideMark/>
          </w:tcPr>
          <w:p w14:paraId="120068E3" w14:textId="77777777" w:rsidR="00C63ADF" w:rsidRDefault="00C63ADF" w:rsidP="00C63ADF">
            <w:pPr>
              <w:keepNext/>
              <w:keepLines/>
              <w:jc w:val="center"/>
              <w:cnfStyle w:val="000000000000" w:firstRow="0" w:lastRow="0" w:firstColumn="0" w:lastColumn="0" w:oddVBand="0" w:evenVBand="0" w:oddHBand="0" w:evenHBand="0" w:firstRowFirstColumn="0" w:firstRowLastColumn="0" w:lastRowFirstColumn="0" w:lastRowLastColumn="0"/>
            </w:pPr>
            <w:r>
              <w:t>2024</w:t>
            </w:r>
          </w:p>
        </w:tc>
      </w:tr>
      <w:tr w:rsidR="00C63ADF" w14:paraId="033F02D7" w14:textId="77777777" w:rsidTr="00C63ADF">
        <w:tc>
          <w:tcPr>
            <w:cnfStyle w:val="001000000000" w:firstRow="0" w:lastRow="0" w:firstColumn="1" w:lastColumn="0" w:oddVBand="0" w:evenVBand="0" w:oddHBand="0" w:evenHBand="0" w:firstRowFirstColumn="0" w:firstRowLastColumn="0" w:lastRowFirstColumn="0" w:lastRowLastColumn="0"/>
            <w:tcW w:w="414" w:type="pct"/>
          </w:tcPr>
          <w:p w14:paraId="73783AAF" w14:textId="77777777" w:rsidR="00C63ADF" w:rsidRPr="0067468F" w:rsidRDefault="00C63ADF" w:rsidP="00C63ADF">
            <w:pPr>
              <w:keepNext/>
              <w:keepLines/>
              <w:jc w:val="center"/>
              <w:rPr>
                <w:rStyle w:val="BoldCharacter"/>
              </w:rPr>
            </w:pPr>
            <w:r w:rsidRPr="0067468F">
              <w:rPr>
                <w:rStyle w:val="BoldCharacter"/>
              </w:rPr>
              <w:t>3</w:t>
            </w:r>
          </w:p>
        </w:tc>
        <w:tc>
          <w:tcPr>
            <w:tcW w:w="1002" w:type="pct"/>
            <w:hideMark/>
          </w:tcPr>
          <w:p w14:paraId="66703632" w14:textId="77777777" w:rsidR="00C63ADF" w:rsidRDefault="00C63ADF" w:rsidP="00C63ADF">
            <w:pPr>
              <w:keepNext/>
              <w:keepLines/>
              <w:cnfStyle w:val="000000000000" w:firstRow="0" w:lastRow="0" w:firstColumn="0" w:lastColumn="0" w:oddVBand="0" w:evenVBand="0" w:oddHBand="0" w:evenHBand="0" w:firstRowFirstColumn="0" w:firstRowLastColumn="0" w:lastRowFirstColumn="0" w:lastRowLastColumn="0"/>
            </w:pPr>
            <w:r>
              <w:t>Brolgan Road - Stage 1</w:t>
            </w:r>
          </w:p>
        </w:tc>
        <w:tc>
          <w:tcPr>
            <w:tcW w:w="1669" w:type="pct"/>
            <w:hideMark/>
          </w:tcPr>
          <w:p w14:paraId="79DC0848" w14:textId="77777777" w:rsidR="00C63ADF" w:rsidRDefault="00C63ADF" w:rsidP="00C63ADF">
            <w:pPr>
              <w:keepNext/>
              <w:keepLines/>
              <w:cnfStyle w:val="000000000000" w:firstRow="0" w:lastRow="0" w:firstColumn="0" w:lastColumn="0" w:oddVBand="0" w:evenVBand="0" w:oddHBand="0" w:evenHBand="0" w:firstRowFirstColumn="0" w:firstRowLastColumn="0" w:lastRowFirstColumn="0" w:lastRowLastColumn="0"/>
            </w:pPr>
            <w:r>
              <w:t>Stormwater management and drainage</w:t>
            </w:r>
          </w:p>
        </w:tc>
        <w:tc>
          <w:tcPr>
            <w:tcW w:w="918" w:type="pct"/>
            <w:hideMark/>
          </w:tcPr>
          <w:p w14:paraId="0936B67C" w14:textId="77777777" w:rsidR="00C63ADF" w:rsidRDefault="00C63ADF" w:rsidP="00C63ADF">
            <w:pPr>
              <w:keepNext/>
              <w:keepLines/>
              <w:jc w:val="center"/>
              <w:cnfStyle w:val="000000000000" w:firstRow="0" w:lastRow="0" w:firstColumn="0" w:lastColumn="0" w:oddVBand="0" w:evenVBand="0" w:oddHBand="0" w:evenHBand="0" w:firstRowFirstColumn="0" w:firstRowLastColumn="0" w:lastRowFirstColumn="0" w:lastRowLastColumn="0"/>
            </w:pPr>
            <w:r>
              <w:t>$4M</w:t>
            </w:r>
          </w:p>
        </w:tc>
        <w:tc>
          <w:tcPr>
            <w:tcW w:w="997" w:type="pct"/>
            <w:hideMark/>
          </w:tcPr>
          <w:p w14:paraId="13035E22" w14:textId="77777777" w:rsidR="00C63ADF" w:rsidRDefault="00C63ADF" w:rsidP="00C63ADF">
            <w:pPr>
              <w:keepNext/>
              <w:keepLines/>
              <w:jc w:val="center"/>
              <w:cnfStyle w:val="000000000000" w:firstRow="0" w:lastRow="0" w:firstColumn="0" w:lastColumn="0" w:oddVBand="0" w:evenVBand="0" w:oddHBand="0" w:evenHBand="0" w:firstRowFirstColumn="0" w:firstRowLastColumn="0" w:lastRowFirstColumn="0" w:lastRowLastColumn="0"/>
            </w:pPr>
            <w:r>
              <w:t>2024</w:t>
            </w:r>
          </w:p>
        </w:tc>
      </w:tr>
      <w:tr w:rsidR="00C63ADF" w14:paraId="4C837743" w14:textId="77777777" w:rsidTr="00C63ADF">
        <w:tc>
          <w:tcPr>
            <w:cnfStyle w:val="001000000000" w:firstRow="0" w:lastRow="0" w:firstColumn="1" w:lastColumn="0" w:oddVBand="0" w:evenVBand="0" w:oddHBand="0" w:evenHBand="0" w:firstRowFirstColumn="0" w:firstRowLastColumn="0" w:lastRowFirstColumn="0" w:lastRowLastColumn="0"/>
            <w:tcW w:w="414" w:type="pct"/>
          </w:tcPr>
          <w:p w14:paraId="235CA655" w14:textId="77777777" w:rsidR="00C63ADF" w:rsidRPr="0067468F" w:rsidRDefault="00C63ADF" w:rsidP="00C63ADF">
            <w:pPr>
              <w:keepNext/>
              <w:keepLines/>
              <w:jc w:val="center"/>
              <w:rPr>
                <w:rStyle w:val="BoldCharacter"/>
              </w:rPr>
            </w:pPr>
            <w:r w:rsidRPr="0067468F">
              <w:rPr>
                <w:rStyle w:val="BoldCharacter"/>
              </w:rPr>
              <w:t>4</w:t>
            </w:r>
          </w:p>
        </w:tc>
        <w:tc>
          <w:tcPr>
            <w:tcW w:w="1002" w:type="pct"/>
            <w:hideMark/>
          </w:tcPr>
          <w:p w14:paraId="3465D583" w14:textId="77777777" w:rsidR="00C63ADF" w:rsidRDefault="00C63ADF" w:rsidP="00C63ADF">
            <w:pPr>
              <w:keepNext/>
              <w:keepLines/>
              <w:cnfStyle w:val="000000000000" w:firstRow="0" w:lastRow="0" w:firstColumn="0" w:lastColumn="0" w:oddVBand="0" w:evenVBand="0" w:oddHBand="0" w:evenHBand="0" w:firstRowFirstColumn="0" w:firstRowLastColumn="0" w:lastRowFirstColumn="0" w:lastRowLastColumn="0"/>
            </w:pPr>
            <w:r>
              <w:t>Brolgan Road - Stage 1</w:t>
            </w:r>
          </w:p>
        </w:tc>
        <w:tc>
          <w:tcPr>
            <w:tcW w:w="1669" w:type="pct"/>
            <w:hideMark/>
          </w:tcPr>
          <w:p w14:paraId="41BCC9C6" w14:textId="77777777" w:rsidR="00C63ADF" w:rsidRDefault="00C63ADF" w:rsidP="00C63ADF">
            <w:pPr>
              <w:keepNext/>
              <w:keepLines/>
              <w:cnfStyle w:val="000000000000" w:firstRow="0" w:lastRow="0" w:firstColumn="0" w:lastColumn="0" w:oddVBand="0" w:evenVBand="0" w:oddHBand="0" w:evenHBand="0" w:firstRowFirstColumn="0" w:firstRowLastColumn="0" w:lastRowFirstColumn="0" w:lastRowLastColumn="0"/>
            </w:pPr>
            <w:r>
              <w:t>Lead in and subdivision electrical works</w:t>
            </w:r>
          </w:p>
        </w:tc>
        <w:tc>
          <w:tcPr>
            <w:tcW w:w="918" w:type="pct"/>
            <w:hideMark/>
          </w:tcPr>
          <w:p w14:paraId="029579D7" w14:textId="77777777" w:rsidR="00C63ADF" w:rsidRDefault="00C63ADF" w:rsidP="00C63ADF">
            <w:pPr>
              <w:keepNext/>
              <w:keepLines/>
              <w:jc w:val="center"/>
              <w:cnfStyle w:val="000000000000" w:firstRow="0" w:lastRow="0" w:firstColumn="0" w:lastColumn="0" w:oddVBand="0" w:evenVBand="0" w:oddHBand="0" w:evenHBand="0" w:firstRowFirstColumn="0" w:firstRowLastColumn="0" w:lastRowFirstColumn="0" w:lastRowLastColumn="0"/>
            </w:pPr>
            <w:r>
              <w:t>$5M</w:t>
            </w:r>
          </w:p>
        </w:tc>
        <w:tc>
          <w:tcPr>
            <w:tcW w:w="997" w:type="pct"/>
            <w:hideMark/>
          </w:tcPr>
          <w:p w14:paraId="3B6FD677" w14:textId="77777777" w:rsidR="00C63ADF" w:rsidRDefault="00C63ADF" w:rsidP="00C63ADF">
            <w:pPr>
              <w:keepNext/>
              <w:keepLines/>
              <w:jc w:val="center"/>
              <w:cnfStyle w:val="000000000000" w:firstRow="0" w:lastRow="0" w:firstColumn="0" w:lastColumn="0" w:oddVBand="0" w:evenVBand="0" w:oddHBand="0" w:evenHBand="0" w:firstRowFirstColumn="0" w:firstRowLastColumn="0" w:lastRowFirstColumn="0" w:lastRowLastColumn="0"/>
            </w:pPr>
            <w:r>
              <w:t>2024</w:t>
            </w:r>
          </w:p>
        </w:tc>
      </w:tr>
      <w:tr w:rsidR="00C63ADF" w14:paraId="2549A04A" w14:textId="77777777" w:rsidTr="00C63ADF">
        <w:tc>
          <w:tcPr>
            <w:cnfStyle w:val="001000000000" w:firstRow="0" w:lastRow="0" w:firstColumn="1" w:lastColumn="0" w:oddVBand="0" w:evenVBand="0" w:oddHBand="0" w:evenHBand="0" w:firstRowFirstColumn="0" w:firstRowLastColumn="0" w:lastRowFirstColumn="0" w:lastRowLastColumn="0"/>
            <w:tcW w:w="414" w:type="pct"/>
          </w:tcPr>
          <w:p w14:paraId="6A8322A0" w14:textId="77777777" w:rsidR="00C63ADF" w:rsidRPr="0067468F" w:rsidRDefault="00C63ADF" w:rsidP="00C63ADF">
            <w:pPr>
              <w:keepNext/>
              <w:keepLines/>
              <w:jc w:val="center"/>
              <w:rPr>
                <w:rStyle w:val="BoldCharacter"/>
              </w:rPr>
            </w:pPr>
            <w:r w:rsidRPr="0067468F">
              <w:rPr>
                <w:rStyle w:val="BoldCharacter"/>
              </w:rPr>
              <w:t>5</w:t>
            </w:r>
          </w:p>
        </w:tc>
        <w:tc>
          <w:tcPr>
            <w:tcW w:w="1002" w:type="pct"/>
            <w:hideMark/>
          </w:tcPr>
          <w:p w14:paraId="43D4336F" w14:textId="77777777" w:rsidR="00C63ADF" w:rsidRDefault="00C63ADF" w:rsidP="00C63ADF">
            <w:pPr>
              <w:keepNext/>
              <w:keepLines/>
              <w:cnfStyle w:val="000000000000" w:firstRow="0" w:lastRow="0" w:firstColumn="0" w:lastColumn="0" w:oddVBand="0" w:evenVBand="0" w:oddHBand="0" w:evenHBand="0" w:firstRowFirstColumn="0" w:firstRowLastColumn="0" w:lastRowFirstColumn="0" w:lastRowLastColumn="0"/>
            </w:pPr>
            <w:r>
              <w:t>Rail crossings</w:t>
            </w:r>
          </w:p>
        </w:tc>
        <w:tc>
          <w:tcPr>
            <w:tcW w:w="1669" w:type="pct"/>
            <w:hideMark/>
          </w:tcPr>
          <w:p w14:paraId="3EC604F6" w14:textId="77777777" w:rsidR="00C63ADF" w:rsidRDefault="00C63ADF" w:rsidP="00C63ADF">
            <w:pPr>
              <w:keepNext/>
              <w:keepLines/>
              <w:cnfStyle w:val="000000000000" w:firstRow="0" w:lastRow="0" w:firstColumn="0" w:lastColumn="0" w:oddVBand="0" w:evenVBand="0" w:oddHBand="0" w:evenHBand="0" w:firstRowFirstColumn="0" w:firstRowLastColumn="0" w:lastRowFirstColumn="0" w:lastRowLastColumn="0"/>
            </w:pPr>
            <w:r>
              <w:t>Provision of two grade separated rail crossings over Brolgan Road</w:t>
            </w:r>
          </w:p>
        </w:tc>
        <w:tc>
          <w:tcPr>
            <w:tcW w:w="918" w:type="pct"/>
            <w:hideMark/>
          </w:tcPr>
          <w:p w14:paraId="4DB930D3" w14:textId="77777777" w:rsidR="00C63ADF" w:rsidRDefault="00C63ADF" w:rsidP="00C63ADF">
            <w:pPr>
              <w:keepNext/>
              <w:keepLines/>
              <w:jc w:val="center"/>
              <w:cnfStyle w:val="000000000000" w:firstRow="0" w:lastRow="0" w:firstColumn="0" w:lastColumn="0" w:oddVBand="0" w:evenVBand="0" w:oddHBand="0" w:evenHBand="0" w:firstRowFirstColumn="0" w:firstRowLastColumn="0" w:lastRowFirstColumn="0" w:lastRowLastColumn="0"/>
            </w:pPr>
            <w:r>
              <w:t>$40M</w:t>
            </w:r>
          </w:p>
        </w:tc>
        <w:tc>
          <w:tcPr>
            <w:tcW w:w="997" w:type="pct"/>
            <w:hideMark/>
          </w:tcPr>
          <w:p w14:paraId="5492F83A" w14:textId="77777777" w:rsidR="00C63ADF" w:rsidRDefault="00C63ADF" w:rsidP="00C63ADF">
            <w:pPr>
              <w:keepNext/>
              <w:keepLines/>
              <w:jc w:val="center"/>
              <w:cnfStyle w:val="000000000000" w:firstRow="0" w:lastRow="0" w:firstColumn="0" w:lastColumn="0" w:oddVBand="0" w:evenVBand="0" w:oddHBand="0" w:evenHBand="0" w:firstRowFirstColumn="0" w:firstRowLastColumn="0" w:lastRowFirstColumn="0" w:lastRowLastColumn="0"/>
            </w:pPr>
            <w:r>
              <w:t>2024</w:t>
            </w:r>
          </w:p>
        </w:tc>
      </w:tr>
      <w:tr w:rsidR="00C63ADF" w:rsidRPr="00A552DA" w14:paraId="0DDE657D" w14:textId="77777777" w:rsidTr="00C63ADF">
        <w:tc>
          <w:tcPr>
            <w:cnfStyle w:val="001000000000" w:firstRow="0" w:lastRow="0" w:firstColumn="1" w:lastColumn="0" w:oddVBand="0" w:evenVBand="0" w:oddHBand="0" w:evenHBand="0" w:firstRowFirstColumn="0" w:firstRowLastColumn="0" w:lastRowFirstColumn="0" w:lastRowLastColumn="0"/>
            <w:tcW w:w="414" w:type="pct"/>
            <w:shd w:val="clear" w:color="auto" w:fill="F47920" w:themeFill="background2"/>
          </w:tcPr>
          <w:p w14:paraId="1496FAD9" w14:textId="77777777" w:rsidR="00C63ADF" w:rsidRPr="00A552DA" w:rsidRDefault="00C63ADF" w:rsidP="00C63ADF">
            <w:pPr>
              <w:keepNext/>
              <w:keepLines/>
              <w:rPr>
                <w:b/>
                <w:color w:val="FFFFFF" w:themeColor="background1"/>
              </w:rPr>
            </w:pPr>
          </w:p>
        </w:tc>
        <w:tc>
          <w:tcPr>
            <w:tcW w:w="1002" w:type="pct"/>
            <w:shd w:val="clear" w:color="auto" w:fill="F47920" w:themeFill="background2"/>
            <w:hideMark/>
          </w:tcPr>
          <w:p w14:paraId="7F2200A3" w14:textId="77777777" w:rsidR="00C63ADF" w:rsidRPr="00A552DA" w:rsidRDefault="00C63ADF" w:rsidP="00C63ADF">
            <w:pPr>
              <w:keepNext/>
              <w:keepLines/>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1669" w:type="pct"/>
            <w:shd w:val="clear" w:color="auto" w:fill="F47920" w:themeFill="background2"/>
          </w:tcPr>
          <w:p w14:paraId="567F7B0E" w14:textId="77777777" w:rsidR="00C63ADF" w:rsidRPr="00A552DA" w:rsidRDefault="00C63ADF" w:rsidP="00C63ADF">
            <w:pPr>
              <w:keepNext/>
              <w:keepLines/>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918" w:type="pct"/>
            <w:shd w:val="clear" w:color="auto" w:fill="F47920" w:themeFill="background2"/>
            <w:hideMark/>
          </w:tcPr>
          <w:p w14:paraId="73A09C14" w14:textId="0FC3E9D0" w:rsidR="00C63ADF" w:rsidRPr="00A552DA" w:rsidRDefault="00C63ADF" w:rsidP="00C63ADF">
            <w:pPr>
              <w:keepNext/>
              <w:keepLines/>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552DA">
              <w:rPr>
                <w:b/>
                <w:color w:val="FFFFFF" w:themeColor="background1"/>
              </w:rPr>
              <w:t>$101</w:t>
            </w:r>
            <w:r w:rsidR="000774DF">
              <w:rPr>
                <w:b/>
                <w:color w:val="FFFFFF" w:themeColor="background1"/>
              </w:rPr>
              <w:t>.</w:t>
            </w:r>
            <w:r w:rsidR="008052BB">
              <w:rPr>
                <w:b/>
                <w:color w:val="FFFFFF" w:themeColor="background1"/>
              </w:rPr>
              <w:t>5</w:t>
            </w:r>
            <w:r w:rsidRPr="00A552DA">
              <w:rPr>
                <w:b/>
                <w:color w:val="FFFFFF" w:themeColor="background1"/>
              </w:rPr>
              <w:t>M</w:t>
            </w:r>
          </w:p>
        </w:tc>
        <w:tc>
          <w:tcPr>
            <w:tcW w:w="997" w:type="pct"/>
            <w:shd w:val="clear" w:color="auto" w:fill="F47920" w:themeFill="background2"/>
          </w:tcPr>
          <w:p w14:paraId="73909CDB" w14:textId="77777777" w:rsidR="00C63ADF" w:rsidRPr="00A552DA" w:rsidRDefault="00C63ADF" w:rsidP="00C63ADF">
            <w:pPr>
              <w:keepNext/>
              <w:keepLines/>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p>
        </w:tc>
      </w:tr>
    </w:tbl>
    <w:p w14:paraId="142B89AB" w14:textId="77777777" w:rsidR="0026662E" w:rsidRDefault="0026662E">
      <w:pPr>
        <w:rPr>
          <w:rFonts w:asciiTheme="majorHAnsi" w:eastAsiaTheme="majorEastAsia" w:hAnsiTheme="majorHAnsi" w:cstheme="majorBidi"/>
          <w:b/>
          <w:bCs/>
          <w:color w:val="253D90" w:themeColor="text2"/>
          <w:sz w:val="24"/>
          <w:szCs w:val="26"/>
        </w:rPr>
      </w:pPr>
      <w:r>
        <w:br w:type="page"/>
      </w:r>
    </w:p>
    <w:p w14:paraId="6CFA2A95" w14:textId="5A97AF03" w:rsidR="001C4FB6" w:rsidRDefault="00337CBC" w:rsidP="009D13A6">
      <w:pPr>
        <w:pStyle w:val="AppendixSubHeading"/>
      </w:pPr>
      <w:bookmarkStart w:id="14" w:name="_Ref146103184"/>
      <w:r>
        <w:lastRenderedPageBreak/>
        <w:t>Infrastructure location maps</w:t>
      </w:r>
      <w:bookmarkEnd w:id="14"/>
    </w:p>
    <w:p w14:paraId="37109871" w14:textId="72293F1E" w:rsidR="00F42F8B" w:rsidRDefault="00172B11" w:rsidP="008937CB">
      <w:pPr>
        <w:pStyle w:val="BodyText"/>
      </w:pPr>
      <w:r>
        <w:t xml:space="preserve">The works map below shows the location of the works in the works schedule in the previous section of this </w:t>
      </w:r>
      <w:r w:rsidR="00574786">
        <w:t>A</w:t>
      </w:r>
      <w:r>
        <w:t>ppendix.</w:t>
      </w:r>
    </w:p>
    <w:p w14:paraId="6D5C58EC" w14:textId="3AC85A9F" w:rsidR="0075269F" w:rsidRDefault="00AC5DD6" w:rsidP="00AC5DD6">
      <w:pPr>
        <w:pStyle w:val="Caption"/>
      </w:pPr>
      <w:r>
        <w:t>Figure 6.</w:t>
      </w:r>
      <w:fldSimple w:instr=" SEQ Figure \* ARABIC ">
        <w:r w:rsidR="003C6AA3">
          <w:rPr>
            <w:noProof/>
          </w:rPr>
          <w:t>5</w:t>
        </w:r>
      </w:fldSimple>
      <w:r>
        <w:t xml:space="preserve">: </w:t>
      </w:r>
      <w:r w:rsidR="00E8690D">
        <w:t xml:space="preserve">Parkes </w:t>
      </w:r>
      <w:r w:rsidR="00574786">
        <w:rPr>
          <w:color w:val="auto"/>
        </w:rPr>
        <w:t>Special Activation Precinct</w:t>
      </w:r>
      <w:r w:rsidR="00574786" w:rsidDel="00574786">
        <w:t xml:space="preserve"> </w:t>
      </w:r>
      <w:r w:rsidR="00E8690D">
        <w:t>w</w:t>
      </w:r>
      <w:r w:rsidR="00CC0463">
        <w:t>orks map</w:t>
      </w:r>
    </w:p>
    <w:p w14:paraId="04E3A488" w14:textId="69D2A3EF" w:rsidR="00501514" w:rsidRPr="00501514" w:rsidRDefault="005934DB" w:rsidP="00501514">
      <w:pPr>
        <w:rPr>
          <w:rFonts w:cs="Leelawadee UI Semilight"/>
        </w:rPr>
      </w:pPr>
      <w:r>
        <w:rPr>
          <w:noProof/>
        </w:rPr>
        <w:drawing>
          <wp:inline distT="0" distB="0" distL="0" distR="0" wp14:anchorId="50E7E808" wp14:editId="459432B5">
            <wp:extent cx="4960129" cy="73045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67039" cy="7314743"/>
                    </a:xfrm>
                    <a:prstGeom prst="rect">
                      <a:avLst/>
                    </a:prstGeom>
                  </pic:spPr>
                </pic:pic>
              </a:graphicData>
            </a:graphic>
          </wp:inline>
        </w:drawing>
      </w:r>
    </w:p>
    <w:sectPr w:rsidR="00501514" w:rsidRPr="00501514" w:rsidSect="00B24264">
      <w:headerReference w:type="even" r:id="rId18"/>
      <w:headerReference w:type="default" r:id="rId19"/>
      <w:footerReference w:type="default" r:id="rId20"/>
      <w:headerReference w:type="first" r:id="rId21"/>
      <w:footerReference w:type="first" r:id="rId22"/>
      <w:pgSz w:w="11906" w:h="16838" w:code="9"/>
      <w:pgMar w:top="1701" w:right="1418" w:bottom="1701" w:left="1985" w:header="51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D896CA" w14:textId="77777777" w:rsidR="001D0EA5" w:rsidRPr="000D4EDE" w:rsidRDefault="001D0EA5" w:rsidP="000D4EDE">
      <w:r>
        <w:separator/>
      </w:r>
    </w:p>
  </w:endnote>
  <w:endnote w:type="continuationSeparator" w:id="0">
    <w:p w14:paraId="074A15A9" w14:textId="77777777" w:rsidR="001D0EA5" w:rsidRPr="000D4EDE" w:rsidRDefault="001D0EA5" w:rsidP="000D4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eelawadee UI Semilight">
    <w:panose1 w:val="020B0402040204020203"/>
    <w:charset w:val="00"/>
    <w:family w:val="swiss"/>
    <w:pitch w:val="variable"/>
    <w:sig w:usb0="A3000003" w:usb1="00000000" w:usb2="00010000" w:usb3="00000000" w:csb0="00010101" w:csb1="00000000"/>
  </w:font>
  <w:font w:name="Angsana New">
    <w:panose1 w:val="02020603050405020304"/>
    <w:charset w:val="DE"/>
    <w:family w:val="roman"/>
    <w:pitch w:val="variable"/>
    <w:sig w:usb0="81000003" w:usb1="00000000" w:usb2="00000000" w:usb3="00000000" w:csb0="00010001" w:csb1="00000000"/>
  </w:font>
  <w:font w:name="Leelawadee UI">
    <w:panose1 w:val="020B0502040204020203"/>
    <w:charset w:val="00"/>
    <w:family w:val="swiss"/>
    <w:pitch w:val="variable"/>
    <w:sig w:usb0="A3000003" w:usb1="00000000" w:usb2="00010000" w:usb3="00000000" w:csb0="00010101"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eelawadeeUI-Bold">
    <w:altName w:val="Cambria"/>
    <w:panose1 w:val="00000000000000000000"/>
    <w:charset w:val="00"/>
    <w:family w:val="roman"/>
    <w:notTrueType/>
    <w:pitch w:val="default"/>
  </w:font>
  <w:font w:name="LeelawadeeUI-Semilight">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5519915"/>
      <w:docPartObj>
        <w:docPartGallery w:val="Page Numbers (Bottom of Page)"/>
        <w:docPartUnique/>
      </w:docPartObj>
    </w:sdtPr>
    <w:sdtEndPr>
      <w:rPr>
        <w:noProof/>
      </w:rPr>
    </w:sdtEndPr>
    <w:sdtContent>
      <w:p w14:paraId="1E877835" w14:textId="463122D7" w:rsidR="00AB32E5" w:rsidRDefault="007A24C6" w:rsidP="002167CE">
        <w:pPr>
          <w:pStyle w:val="Footer"/>
          <w:jc w:val="right"/>
          <w:rPr>
            <w:noProof/>
          </w:rPr>
        </w:pPr>
        <w:r w:rsidRPr="00C72EC4">
          <w:rPr>
            <w:noProof/>
          </w:rPr>
          <mc:AlternateContent>
            <mc:Choice Requires="wps">
              <w:drawing>
                <wp:anchor distT="0" distB="0" distL="114300" distR="114300" simplePos="0" relativeHeight="251656704" behindDoc="0" locked="1" layoutInCell="1" allowOverlap="1" wp14:anchorId="461E2BF5" wp14:editId="608C1989">
                  <wp:simplePos x="0" y="0"/>
                  <wp:positionH relativeFrom="margin">
                    <wp:posOffset>5106670</wp:posOffset>
                  </wp:positionH>
                  <wp:positionV relativeFrom="page">
                    <wp:posOffset>219075</wp:posOffset>
                  </wp:positionV>
                  <wp:extent cx="511810" cy="468630"/>
                  <wp:effectExtent l="0" t="0" r="2540" b="7620"/>
                  <wp:wrapNone/>
                  <wp:docPr id="12" name="Freeform 10">
                    <a:extLst xmlns:a="http://schemas.openxmlformats.org/drawingml/2006/main">
                      <a:ext uri="{FF2B5EF4-FFF2-40B4-BE49-F238E27FC236}">
                        <a16:creationId xmlns:a16="http://schemas.microsoft.com/office/drawing/2014/main" id="{D31BEF7A-52DB-ADD4-FEDA-446CD8EFA972}"/>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1810" cy="468630"/>
                          </a:xfrm>
                          <a:custGeom>
                            <a:avLst/>
                            <a:gdLst>
                              <a:gd name="T0" fmla="*/ 530 w 640"/>
                              <a:gd name="T1" fmla="*/ 238 h 594"/>
                              <a:gd name="T2" fmla="*/ 625 w 640"/>
                              <a:gd name="T3" fmla="*/ 470 h 594"/>
                              <a:gd name="T4" fmla="*/ 512 w 640"/>
                              <a:gd name="T5" fmla="*/ 572 h 594"/>
                              <a:gd name="T6" fmla="*/ 311 w 640"/>
                              <a:gd name="T7" fmla="*/ 492 h 594"/>
                              <a:gd name="T8" fmla="*/ 58 w 640"/>
                              <a:gd name="T9" fmla="*/ 182 h 594"/>
                              <a:gd name="T10" fmla="*/ 71 w 640"/>
                              <a:gd name="T11" fmla="*/ 342 h 594"/>
                              <a:gd name="T12" fmla="*/ 81 w 640"/>
                              <a:gd name="T13" fmla="*/ 364 h 594"/>
                              <a:gd name="T14" fmla="*/ 92 w 640"/>
                              <a:gd name="T15" fmla="*/ 386 h 594"/>
                              <a:gd name="T16" fmla="*/ 379 w 640"/>
                              <a:gd name="T17" fmla="*/ 583 h 594"/>
                              <a:gd name="T18" fmla="*/ 379 w 640"/>
                              <a:gd name="T19" fmla="*/ 584 h 594"/>
                              <a:gd name="T20" fmla="*/ 118 w 640"/>
                              <a:gd name="T21" fmla="*/ 494 h 594"/>
                              <a:gd name="T22" fmla="*/ 30 w 640"/>
                              <a:gd name="T23" fmla="*/ 358 h 594"/>
                              <a:gd name="T24" fmla="*/ 27 w 640"/>
                              <a:gd name="T25" fmla="*/ 132 h 594"/>
                              <a:gd name="T26" fmla="*/ 90 w 640"/>
                              <a:gd name="T27" fmla="*/ 137 h 594"/>
                              <a:gd name="T28" fmla="*/ 452 w 640"/>
                              <a:gd name="T29" fmla="*/ 517 h 594"/>
                              <a:gd name="T30" fmla="*/ 519 w 640"/>
                              <a:gd name="T31" fmla="*/ 299 h 594"/>
                              <a:gd name="T32" fmla="*/ 484 w 640"/>
                              <a:gd name="T33" fmla="*/ 440 h 594"/>
                              <a:gd name="T34" fmla="*/ 464 w 640"/>
                              <a:gd name="T35" fmla="*/ 493 h 594"/>
                              <a:gd name="T36" fmla="*/ 461 w 640"/>
                              <a:gd name="T37" fmla="*/ 492 h 594"/>
                              <a:gd name="T38" fmla="*/ 519 w 640"/>
                              <a:gd name="T39" fmla="*/ 164 h 594"/>
                              <a:gd name="T40" fmla="*/ 535 w 640"/>
                              <a:gd name="T41" fmla="*/ 111 h 594"/>
                              <a:gd name="T42" fmla="*/ 548 w 640"/>
                              <a:gd name="T43" fmla="*/ 66 h 594"/>
                              <a:gd name="T44" fmla="*/ 504 w 640"/>
                              <a:gd name="T45" fmla="*/ 121 h 594"/>
                              <a:gd name="T46" fmla="*/ 467 w 640"/>
                              <a:gd name="T47" fmla="*/ 165 h 594"/>
                              <a:gd name="T48" fmla="*/ 491 w 640"/>
                              <a:gd name="T49" fmla="*/ 191 h 594"/>
                              <a:gd name="T50" fmla="*/ 474 w 640"/>
                              <a:gd name="T51" fmla="*/ 238 h 594"/>
                              <a:gd name="T52" fmla="*/ 437 w 640"/>
                              <a:gd name="T53" fmla="*/ 197 h 594"/>
                              <a:gd name="T54" fmla="*/ 397 w 640"/>
                              <a:gd name="T55" fmla="*/ 235 h 594"/>
                              <a:gd name="T56" fmla="*/ 332 w 640"/>
                              <a:gd name="T57" fmla="*/ 281 h 594"/>
                              <a:gd name="T58" fmla="*/ 329 w 640"/>
                              <a:gd name="T59" fmla="*/ 278 h 594"/>
                              <a:gd name="T60" fmla="*/ 489 w 640"/>
                              <a:gd name="T61" fmla="*/ 106 h 594"/>
                              <a:gd name="T62" fmla="*/ 544 w 640"/>
                              <a:gd name="T63" fmla="*/ 62 h 594"/>
                              <a:gd name="T64" fmla="*/ 500 w 640"/>
                              <a:gd name="T65" fmla="*/ 75 h 594"/>
                              <a:gd name="T66" fmla="*/ 400 w 640"/>
                              <a:gd name="T67" fmla="*/ 103 h 594"/>
                              <a:gd name="T68" fmla="*/ 427 w 640"/>
                              <a:gd name="T69" fmla="*/ 126 h 594"/>
                              <a:gd name="T70" fmla="*/ 411 w 640"/>
                              <a:gd name="T71" fmla="*/ 138 h 594"/>
                              <a:gd name="T72" fmla="*/ 392 w 640"/>
                              <a:gd name="T73" fmla="*/ 154 h 594"/>
                              <a:gd name="T74" fmla="*/ 346 w 640"/>
                              <a:gd name="T75" fmla="*/ 116 h 594"/>
                              <a:gd name="T76" fmla="*/ 339 w 640"/>
                              <a:gd name="T77" fmla="*/ 118 h 594"/>
                              <a:gd name="T78" fmla="*/ 176 w 640"/>
                              <a:gd name="T79" fmla="*/ 146 h 594"/>
                              <a:gd name="T80" fmla="*/ 120 w 640"/>
                              <a:gd name="T81" fmla="*/ 148 h 594"/>
                              <a:gd name="T82" fmla="*/ 119 w 640"/>
                              <a:gd name="T83" fmla="*/ 145 h 594"/>
                              <a:gd name="T84" fmla="*/ 442 w 640"/>
                              <a:gd name="T85" fmla="*/ 69 h 594"/>
                              <a:gd name="T86" fmla="*/ 497 w 640"/>
                              <a:gd name="T87" fmla="*/ 62 h 594"/>
                              <a:gd name="T88" fmla="*/ 552 w 640"/>
                              <a:gd name="T89" fmla="*/ 56 h 594"/>
                              <a:gd name="T90" fmla="*/ 553 w 640"/>
                              <a:gd name="T91" fmla="*/ 57 h 594"/>
                              <a:gd name="T92" fmla="*/ 554 w 640"/>
                              <a:gd name="T93" fmla="*/ 58 h 594"/>
                              <a:gd name="T94" fmla="*/ 548 w 640"/>
                              <a:gd name="T95" fmla="*/ 113 h 594"/>
                              <a:gd name="T96" fmla="*/ 530 w 640"/>
                              <a:gd name="T97" fmla="*/ 238 h 594"/>
                              <a:gd name="T98" fmla="*/ 149 w 640"/>
                              <a:gd name="T99" fmla="*/ 16 h 594"/>
                              <a:gd name="T100" fmla="*/ 279 w 640"/>
                              <a:gd name="T101" fmla="*/ 68 h 594"/>
                              <a:gd name="T102" fmla="*/ 327 w 640"/>
                              <a:gd name="T103" fmla="*/ 60 h 594"/>
                              <a:gd name="T104" fmla="*/ 339 w 640"/>
                              <a:gd name="T105" fmla="*/ 59 h 594"/>
                              <a:gd name="T106" fmla="*/ 288 w 640"/>
                              <a:gd name="T107" fmla="*/ 33 h 594"/>
                              <a:gd name="T108" fmla="*/ 149 w 640"/>
                              <a:gd name="T109" fmla="*/ 4 h 594"/>
                              <a:gd name="T110" fmla="*/ 86 w 640"/>
                              <a:gd name="T111" fmla="*/ 33 h 594"/>
                              <a:gd name="T112" fmla="*/ 87 w 640"/>
                              <a:gd name="T113" fmla="*/ 33 h 594"/>
                              <a:gd name="T114" fmla="*/ 149 w 640"/>
                              <a:gd name="T115" fmla="*/ 16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40" h="594">
                                <a:moveTo>
                                  <a:pt x="530" y="238"/>
                                </a:moveTo>
                                <a:cubicBezTo>
                                  <a:pt x="582" y="307"/>
                                  <a:pt x="625" y="389"/>
                                  <a:pt x="625" y="470"/>
                                </a:cubicBezTo>
                                <a:cubicBezTo>
                                  <a:pt x="624" y="533"/>
                                  <a:pt x="574" y="575"/>
                                  <a:pt x="512" y="572"/>
                                </a:cubicBezTo>
                                <a:cubicBezTo>
                                  <a:pt x="437" y="569"/>
                                  <a:pt x="370" y="532"/>
                                  <a:pt x="311" y="492"/>
                                </a:cubicBezTo>
                                <a:cubicBezTo>
                                  <a:pt x="206" y="417"/>
                                  <a:pt x="103" y="307"/>
                                  <a:pt x="58" y="182"/>
                                </a:cubicBezTo>
                                <a:cubicBezTo>
                                  <a:pt x="47" y="235"/>
                                  <a:pt x="51" y="292"/>
                                  <a:pt x="71" y="342"/>
                                </a:cubicBezTo>
                                <a:cubicBezTo>
                                  <a:pt x="73" y="347"/>
                                  <a:pt x="79" y="360"/>
                                  <a:pt x="81" y="364"/>
                                </a:cubicBezTo>
                                <a:cubicBezTo>
                                  <a:pt x="83" y="369"/>
                                  <a:pt x="89" y="381"/>
                                  <a:pt x="92" y="386"/>
                                </a:cubicBezTo>
                                <a:cubicBezTo>
                                  <a:pt x="154" y="489"/>
                                  <a:pt x="250" y="574"/>
                                  <a:pt x="379" y="583"/>
                                </a:cubicBezTo>
                                <a:cubicBezTo>
                                  <a:pt x="380" y="583"/>
                                  <a:pt x="380" y="584"/>
                                  <a:pt x="379" y="584"/>
                                </a:cubicBezTo>
                                <a:cubicBezTo>
                                  <a:pt x="285" y="594"/>
                                  <a:pt x="188" y="560"/>
                                  <a:pt x="118" y="494"/>
                                </a:cubicBezTo>
                                <a:cubicBezTo>
                                  <a:pt x="82" y="455"/>
                                  <a:pt x="50" y="409"/>
                                  <a:pt x="30" y="358"/>
                                </a:cubicBezTo>
                                <a:cubicBezTo>
                                  <a:pt x="2" y="286"/>
                                  <a:pt x="0" y="205"/>
                                  <a:pt x="27" y="132"/>
                                </a:cubicBezTo>
                                <a:cubicBezTo>
                                  <a:pt x="38" y="100"/>
                                  <a:pt x="82" y="104"/>
                                  <a:pt x="90" y="137"/>
                                </a:cubicBezTo>
                                <a:cubicBezTo>
                                  <a:pt x="130" y="292"/>
                                  <a:pt x="302" y="464"/>
                                  <a:pt x="452" y="517"/>
                                </a:cubicBezTo>
                                <a:cubicBezTo>
                                  <a:pt x="640" y="576"/>
                                  <a:pt x="585" y="396"/>
                                  <a:pt x="519" y="299"/>
                                </a:cubicBezTo>
                                <a:cubicBezTo>
                                  <a:pt x="511" y="347"/>
                                  <a:pt x="499" y="394"/>
                                  <a:pt x="484" y="440"/>
                                </a:cubicBezTo>
                                <a:cubicBezTo>
                                  <a:pt x="478" y="458"/>
                                  <a:pt x="472" y="476"/>
                                  <a:pt x="464" y="493"/>
                                </a:cubicBezTo>
                                <a:cubicBezTo>
                                  <a:pt x="463" y="494"/>
                                  <a:pt x="461" y="494"/>
                                  <a:pt x="461" y="492"/>
                                </a:cubicBezTo>
                                <a:cubicBezTo>
                                  <a:pt x="461" y="380"/>
                                  <a:pt x="491" y="272"/>
                                  <a:pt x="519" y="164"/>
                                </a:cubicBezTo>
                                <a:cubicBezTo>
                                  <a:pt x="535" y="111"/>
                                  <a:pt x="535" y="111"/>
                                  <a:pt x="535" y="111"/>
                                </a:cubicBezTo>
                                <a:cubicBezTo>
                                  <a:pt x="539" y="96"/>
                                  <a:pt x="543" y="81"/>
                                  <a:pt x="548" y="66"/>
                                </a:cubicBezTo>
                                <a:cubicBezTo>
                                  <a:pt x="534" y="85"/>
                                  <a:pt x="519" y="103"/>
                                  <a:pt x="504" y="121"/>
                                </a:cubicBezTo>
                                <a:cubicBezTo>
                                  <a:pt x="492" y="135"/>
                                  <a:pt x="479" y="150"/>
                                  <a:pt x="467" y="165"/>
                                </a:cubicBezTo>
                                <a:cubicBezTo>
                                  <a:pt x="475" y="173"/>
                                  <a:pt x="483" y="182"/>
                                  <a:pt x="491" y="191"/>
                                </a:cubicBezTo>
                                <a:cubicBezTo>
                                  <a:pt x="485" y="207"/>
                                  <a:pt x="480" y="222"/>
                                  <a:pt x="474" y="238"/>
                                </a:cubicBezTo>
                                <a:cubicBezTo>
                                  <a:pt x="462" y="224"/>
                                  <a:pt x="450" y="210"/>
                                  <a:pt x="437" y="197"/>
                                </a:cubicBezTo>
                                <a:cubicBezTo>
                                  <a:pt x="424" y="210"/>
                                  <a:pt x="411" y="223"/>
                                  <a:pt x="397" y="235"/>
                                </a:cubicBezTo>
                                <a:cubicBezTo>
                                  <a:pt x="376" y="252"/>
                                  <a:pt x="356" y="268"/>
                                  <a:pt x="332" y="281"/>
                                </a:cubicBezTo>
                                <a:cubicBezTo>
                                  <a:pt x="330" y="281"/>
                                  <a:pt x="329" y="280"/>
                                  <a:pt x="329" y="278"/>
                                </a:cubicBezTo>
                                <a:cubicBezTo>
                                  <a:pt x="368" y="208"/>
                                  <a:pt x="430" y="157"/>
                                  <a:pt x="489" y="106"/>
                                </a:cubicBezTo>
                                <a:cubicBezTo>
                                  <a:pt x="507" y="91"/>
                                  <a:pt x="525" y="76"/>
                                  <a:pt x="544" y="62"/>
                                </a:cubicBezTo>
                                <a:cubicBezTo>
                                  <a:pt x="529" y="67"/>
                                  <a:pt x="515" y="71"/>
                                  <a:pt x="500" y="75"/>
                                </a:cubicBezTo>
                                <a:cubicBezTo>
                                  <a:pt x="468" y="85"/>
                                  <a:pt x="434" y="94"/>
                                  <a:pt x="400" y="103"/>
                                </a:cubicBezTo>
                                <a:cubicBezTo>
                                  <a:pt x="409" y="110"/>
                                  <a:pt x="418" y="118"/>
                                  <a:pt x="427" y="126"/>
                                </a:cubicBezTo>
                                <a:cubicBezTo>
                                  <a:pt x="422" y="130"/>
                                  <a:pt x="416" y="134"/>
                                  <a:pt x="411" y="138"/>
                                </a:cubicBezTo>
                                <a:cubicBezTo>
                                  <a:pt x="405" y="143"/>
                                  <a:pt x="398" y="148"/>
                                  <a:pt x="392" y="154"/>
                                </a:cubicBezTo>
                                <a:cubicBezTo>
                                  <a:pt x="377" y="141"/>
                                  <a:pt x="362" y="128"/>
                                  <a:pt x="346" y="116"/>
                                </a:cubicBezTo>
                                <a:cubicBezTo>
                                  <a:pt x="344" y="117"/>
                                  <a:pt x="342" y="117"/>
                                  <a:pt x="339" y="118"/>
                                </a:cubicBezTo>
                                <a:cubicBezTo>
                                  <a:pt x="286" y="131"/>
                                  <a:pt x="231" y="141"/>
                                  <a:pt x="176" y="146"/>
                                </a:cubicBezTo>
                                <a:cubicBezTo>
                                  <a:pt x="158" y="148"/>
                                  <a:pt x="139" y="149"/>
                                  <a:pt x="120" y="148"/>
                                </a:cubicBezTo>
                                <a:cubicBezTo>
                                  <a:pt x="119" y="148"/>
                                  <a:pt x="118" y="146"/>
                                  <a:pt x="119" y="145"/>
                                </a:cubicBezTo>
                                <a:cubicBezTo>
                                  <a:pt x="222" y="101"/>
                                  <a:pt x="333" y="86"/>
                                  <a:pt x="442" y="69"/>
                                </a:cubicBezTo>
                                <a:cubicBezTo>
                                  <a:pt x="497" y="62"/>
                                  <a:pt x="497" y="62"/>
                                  <a:pt x="497" y="62"/>
                                </a:cubicBezTo>
                                <a:cubicBezTo>
                                  <a:pt x="515" y="60"/>
                                  <a:pt x="534" y="58"/>
                                  <a:pt x="552" y="56"/>
                                </a:cubicBezTo>
                                <a:cubicBezTo>
                                  <a:pt x="553" y="56"/>
                                  <a:pt x="553" y="56"/>
                                  <a:pt x="553" y="57"/>
                                </a:cubicBezTo>
                                <a:cubicBezTo>
                                  <a:pt x="554" y="57"/>
                                  <a:pt x="554" y="57"/>
                                  <a:pt x="554" y="58"/>
                                </a:cubicBezTo>
                                <a:cubicBezTo>
                                  <a:pt x="552" y="76"/>
                                  <a:pt x="550" y="95"/>
                                  <a:pt x="548" y="113"/>
                                </a:cubicBezTo>
                                <a:cubicBezTo>
                                  <a:pt x="543" y="154"/>
                                  <a:pt x="536" y="197"/>
                                  <a:pt x="530" y="238"/>
                                </a:cubicBezTo>
                                <a:moveTo>
                                  <a:pt x="149" y="16"/>
                                </a:moveTo>
                                <a:cubicBezTo>
                                  <a:pt x="196" y="21"/>
                                  <a:pt x="239" y="42"/>
                                  <a:pt x="279" y="68"/>
                                </a:cubicBezTo>
                                <a:cubicBezTo>
                                  <a:pt x="295" y="64"/>
                                  <a:pt x="311" y="62"/>
                                  <a:pt x="327" y="60"/>
                                </a:cubicBezTo>
                                <a:cubicBezTo>
                                  <a:pt x="331" y="60"/>
                                  <a:pt x="335" y="59"/>
                                  <a:pt x="339" y="59"/>
                                </a:cubicBezTo>
                                <a:cubicBezTo>
                                  <a:pt x="322" y="49"/>
                                  <a:pt x="305" y="41"/>
                                  <a:pt x="288" y="33"/>
                                </a:cubicBezTo>
                                <a:cubicBezTo>
                                  <a:pt x="244" y="15"/>
                                  <a:pt x="197" y="0"/>
                                  <a:pt x="149" y="4"/>
                                </a:cubicBezTo>
                                <a:cubicBezTo>
                                  <a:pt x="125" y="6"/>
                                  <a:pt x="101" y="15"/>
                                  <a:pt x="86" y="33"/>
                                </a:cubicBezTo>
                                <a:cubicBezTo>
                                  <a:pt x="86" y="33"/>
                                  <a:pt x="86" y="33"/>
                                  <a:pt x="87" y="33"/>
                                </a:cubicBezTo>
                                <a:cubicBezTo>
                                  <a:pt x="104" y="18"/>
                                  <a:pt x="128" y="15"/>
                                  <a:pt x="149" y="16"/>
                                </a:cubicBezTo>
                              </a:path>
                            </a:pathLst>
                          </a:custGeom>
                          <a:solidFill>
                            <a:srgbClr val="003057"/>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2D5D80" id="Freeform 10" o:spid="_x0000_s1026" alt="&quot;&quot;" style="position:absolute;margin-left:402.1pt;margin-top:17.25pt;width:40.3pt;height:36.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4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" path="m530,238v52,69,95,151,95,232c624,533,574,575,512,572,437,569,370,532,311,492,206,417,103,307,58,182,47,235,51,292,71,342v2,5,8,18,10,22c83,369,89,381,92,386v62,103,158,188,287,197c380,583,380,584,379,584,285,594,188,560,118,494,82,455,50,409,30,358,2,286,,205,27,132v11,-32,55,-28,63,5c130,292,302,464,452,517,640,576,585,396,519,299v-8,48,-20,95,-35,141c478,458,472,476,464,493v-1,1,-3,1,-3,-1c461,380,491,272,519,164v16,-53,16,-53,16,-53c539,96,543,81,548,66v-14,19,-29,37,-44,55c492,135,479,150,467,165v8,8,16,17,24,26c485,207,480,222,474,238,462,224,450,210,437,197v-13,13,-26,26,-40,38c376,252,356,268,332,281v-2,,-3,-1,-3,-3c368,208,430,157,489,106,507,91,525,76,544,62v-15,5,-29,9,-44,13c468,85,434,94,400,103v9,7,18,15,27,23c422,130,416,134,411,138v-6,5,-13,10,-19,16c377,141,362,128,346,116v-2,1,-4,1,-7,2c286,131,231,141,176,146v-18,2,-37,3,-56,2c119,148,118,146,119,145,222,101,333,86,442,69v55,-7,55,-7,55,-7c515,60,534,58,552,56v1,,1,,1,1c554,57,554,57,554,58v-2,18,-4,37,-6,55c543,154,536,197,530,238m149,16v47,5,90,26,130,52c295,64,311,62,327,60v4,,8,-1,12,-1c322,49,305,41,288,33,244,15,197,,149,4,125,6,101,15,86,33v,,,,1,c104,18,128,15,149,16e" fillcolor="#003057" stroked="f">
                  <v:path arrowok="t" o:connecttype="custom" o:connectlocs="423843,187768;499814,370802;409448,451273;248708,388158;46383,143587;56779,269817;64776,287174;73573,304531;303087,459952;303087,460741;94365,389736;23991,282440;21592,104140;71973,108085;361466,407882;415046,235893;387056,347133;371062,388947;368663,388158;415046,129386;427841,87572;438237,52070;403050,95462;373461,130175;392654,150687;379059,187768;349470,155421;317482,185401;265501,221692;263102,219325;391055,83628;435039,48914;399852,59170;319881,81261;341473,99406;328678,108874;313484,121497;276697,91517;271099,93095;140748,115185;95964,116763;95165,114396;353469,54437;397452,48914;441436,44181;442236,44970;443036,45758;438237,89150;423843,187768;119156,12623;223117,53648;261503,47336;271099,46547;230315,26035;119156,3156;68774,26035;69574,26035;119156,12623" o:connectangles="0,0,0,0,0,0,0,0,0,0,0,0,0,0,0,0,0,0,0,0,0,0,0,0,0,0,0,0,0,0,0,0,0,0,0,0,0,0,0,0,0,0,0,0,0,0,0,0,0,0,0,0,0,0,0,0,0,0"/>
                  <o:lock v:ext="edit" verticies="t"/>
                  <w10:wrap anchorx="margin" anchory="page"/>
                  <w10:anchorlock/>
                </v:shape>
              </w:pict>
            </mc:Fallback>
          </mc:AlternateContent>
        </w:r>
        <w:r w:rsidR="001074C2" w:rsidRPr="00E54653">
          <w:rPr>
            <w:noProof/>
            <w:color w:val="0070C0"/>
            <w:sz w:val="18"/>
          </w:rPr>
          <mc:AlternateContent>
            <mc:Choice Requires="wps">
              <w:drawing>
                <wp:anchor distT="0" distB="0" distL="114300" distR="114300" simplePos="0" relativeHeight="251655680" behindDoc="0" locked="0" layoutInCell="1" allowOverlap="1" wp14:anchorId="2D0B1EC3" wp14:editId="2B01C0E3">
                  <wp:simplePos x="0" y="0"/>
                  <wp:positionH relativeFrom="column">
                    <wp:posOffset>3921760</wp:posOffset>
                  </wp:positionH>
                  <wp:positionV relativeFrom="paragraph">
                    <wp:posOffset>-9878695</wp:posOffset>
                  </wp:positionV>
                  <wp:extent cx="1697355" cy="472440"/>
                  <wp:effectExtent l="0" t="0" r="0" b="3810"/>
                  <wp:wrapSquare wrapText="bothSides"/>
                  <wp:docPr id="6" name="Freeform 5">
                    <a:extLst xmlns:a="http://schemas.openxmlformats.org/drawingml/2006/main">
                      <a:ext uri="{FF2B5EF4-FFF2-40B4-BE49-F238E27FC236}">
                        <a16:creationId xmlns:a16="http://schemas.microsoft.com/office/drawing/2014/main" id="{387D8147-A73A-4973-4D35-876E03BB7F4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97355" cy="472440"/>
                          </a:xfrm>
                          <a:custGeom>
                            <a:avLst/>
                            <a:gdLst>
                              <a:gd name="T0" fmla="*/ 731 w 2140"/>
                              <a:gd name="T1" fmla="*/ 320 h 594"/>
                              <a:gd name="T2" fmla="*/ 821 w 2140"/>
                              <a:gd name="T3" fmla="*/ 80 h 594"/>
                              <a:gd name="T4" fmla="*/ 1026 w 2140"/>
                              <a:gd name="T5" fmla="*/ 324 h 594"/>
                              <a:gd name="T6" fmla="*/ 1129 w 2140"/>
                              <a:gd name="T7" fmla="*/ 120 h 594"/>
                              <a:gd name="T8" fmla="*/ 1032 w 2140"/>
                              <a:gd name="T9" fmla="*/ 284 h 594"/>
                              <a:gd name="T10" fmla="*/ 1032 w 2140"/>
                              <a:gd name="T11" fmla="*/ 284 h 594"/>
                              <a:gd name="T12" fmla="*/ 1283 w 2140"/>
                              <a:gd name="T13" fmla="*/ 163 h 594"/>
                              <a:gd name="T14" fmla="*/ 1175 w 2140"/>
                              <a:gd name="T15" fmla="*/ 120 h 594"/>
                              <a:gd name="T16" fmla="*/ 1450 w 2140"/>
                              <a:gd name="T17" fmla="*/ 320 h 594"/>
                              <a:gd name="T18" fmla="*/ 1354 w 2140"/>
                              <a:gd name="T19" fmla="*/ 196 h 594"/>
                              <a:gd name="T20" fmla="*/ 1689 w 2140"/>
                              <a:gd name="T21" fmla="*/ 215 h 594"/>
                              <a:gd name="T22" fmla="*/ 1684 w 2140"/>
                              <a:gd name="T23" fmla="*/ 278 h 594"/>
                              <a:gd name="T24" fmla="*/ 1645 w 2140"/>
                              <a:gd name="T25" fmla="*/ 198 h 594"/>
                              <a:gd name="T26" fmla="*/ 1801 w 2140"/>
                              <a:gd name="T27" fmla="*/ 201 h 594"/>
                              <a:gd name="T28" fmla="*/ 1851 w 2140"/>
                              <a:gd name="T29" fmla="*/ 150 h 594"/>
                              <a:gd name="T30" fmla="*/ 1813 w 2140"/>
                              <a:gd name="T31" fmla="*/ 265 h 594"/>
                              <a:gd name="T32" fmla="*/ 716 w 2140"/>
                              <a:gd name="T33" fmla="*/ 539 h 594"/>
                              <a:gd name="T34" fmla="*/ 741 w 2140"/>
                              <a:gd name="T35" fmla="*/ 430 h 594"/>
                              <a:gd name="T36" fmla="*/ 722 w 2140"/>
                              <a:gd name="T37" fmla="*/ 430 h 594"/>
                              <a:gd name="T38" fmla="*/ 732 w 2140"/>
                              <a:gd name="T39" fmla="*/ 527 h 594"/>
                              <a:gd name="T40" fmla="*/ 915 w 2140"/>
                              <a:gd name="T41" fmla="*/ 454 h 594"/>
                              <a:gd name="T42" fmla="*/ 919 w 2140"/>
                              <a:gd name="T43" fmla="*/ 438 h 594"/>
                              <a:gd name="T44" fmla="*/ 996 w 2140"/>
                              <a:gd name="T45" fmla="*/ 393 h 594"/>
                              <a:gd name="T46" fmla="*/ 1000 w 2140"/>
                              <a:gd name="T47" fmla="*/ 440 h 594"/>
                              <a:gd name="T48" fmla="*/ 1053 w 2140"/>
                              <a:gd name="T49" fmla="*/ 569 h 594"/>
                              <a:gd name="T50" fmla="*/ 1117 w 2140"/>
                              <a:gd name="T51" fmla="*/ 440 h 594"/>
                              <a:gd name="T52" fmla="*/ 1053 w 2140"/>
                              <a:gd name="T53" fmla="*/ 569 h 594"/>
                              <a:gd name="T54" fmla="*/ 1136 w 2140"/>
                              <a:gd name="T55" fmla="*/ 507 h 594"/>
                              <a:gd name="T56" fmla="*/ 1118 w 2140"/>
                              <a:gd name="T57" fmla="*/ 504 h 594"/>
                              <a:gd name="T58" fmla="*/ 1312 w 2140"/>
                              <a:gd name="T59" fmla="*/ 477 h 594"/>
                              <a:gd name="T60" fmla="*/ 1332 w 2140"/>
                              <a:gd name="T61" fmla="*/ 477 h 594"/>
                              <a:gd name="T62" fmla="*/ 1312 w 2140"/>
                              <a:gd name="T63" fmla="*/ 477 h 594"/>
                              <a:gd name="T64" fmla="*/ 1496 w 2140"/>
                              <a:gd name="T65" fmla="*/ 504 h 594"/>
                              <a:gd name="T66" fmla="*/ 1611 w 2140"/>
                              <a:gd name="T67" fmla="*/ 504 h 594"/>
                              <a:gd name="T68" fmla="*/ 1670 w 2140"/>
                              <a:gd name="T69" fmla="*/ 518 h 594"/>
                              <a:gd name="T70" fmla="*/ 1739 w 2140"/>
                              <a:gd name="T71" fmla="*/ 551 h 594"/>
                              <a:gd name="T72" fmla="*/ 1810 w 2140"/>
                              <a:gd name="T73" fmla="*/ 569 h 594"/>
                              <a:gd name="T74" fmla="*/ 1900 w 2140"/>
                              <a:gd name="T75" fmla="*/ 569 h 594"/>
                              <a:gd name="T76" fmla="*/ 1792 w 2140"/>
                              <a:gd name="T77" fmla="*/ 440 h 594"/>
                              <a:gd name="T78" fmla="*/ 2032 w 2140"/>
                              <a:gd name="T79" fmla="*/ 528 h 594"/>
                              <a:gd name="T80" fmla="*/ 2048 w 2140"/>
                              <a:gd name="T81" fmla="*/ 471 h 594"/>
                              <a:gd name="T82" fmla="*/ 2092 w 2140"/>
                              <a:gd name="T83" fmla="*/ 393 h 594"/>
                              <a:gd name="T84" fmla="*/ 2087 w 2140"/>
                              <a:gd name="T85" fmla="*/ 569 h 594"/>
                              <a:gd name="T86" fmla="*/ 2140 w 2140"/>
                              <a:gd name="T87" fmla="*/ 381 h 594"/>
                              <a:gd name="T88" fmla="*/ 512 w 2140"/>
                              <a:gd name="T89" fmla="*/ 572 h 594"/>
                              <a:gd name="T90" fmla="*/ 92 w 2140"/>
                              <a:gd name="T91" fmla="*/ 386 h 594"/>
                              <a:gd name="T92" fmla="*/ 27 w 2140"/>
                              <a:gd name="T93" fmla="*/ 132 h 594"/>
                              <a:gd name="T94" fmla="*/ 464 w 2140"/>
                              <a:gd name="T95" fmla="*/ 493 h 594"/>
                              <a:gd name="T96" fmla="*/ 504 w 2140"/>
                              <a:gd name="T97" fmla="*/ 120 h 594"/>
                              <a:gd name="T98" fmla="*/ 397 w 2140"/>
                              <a:gd name="T99" fmla="*/ 235 h 594"/>
                              <a:gd name="T100" fmla="*/ 500 w 2140"/>
                              <a:gd name="T101" fmla="*/ 75 h 594"/>
                              <a:gd name="T102" fmla="*/ 346 w 2140"/>
                              <a:gd name="T103" fmla="*/ 116 h 594"/>
                              <a:gd name="T104" fmla="*/ 442 w 2140"/>
                              <a:gd name="T105" fmla="*/ 69 h 594"/>
                              <a:gd name="T106" fmla="*/ 548 w 2140"/>
                              <a:gd name="T107" fmla="*/ 113 h 594"/>
                              <a:gd name="T108" fmla="*/ 339 w 2140"/>
                              <a:gd name="T109" fmla="*/ 59 h 594"/>
                              <a:gd name="T110" fmla="*/ 149 w 2140"/>
                              <a:gd name="T111" fmla="*/ 16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40" h="594">
                                <a:moveTo>
                                  <a:pt x="920" y="129"/>
                                </a:moveTo>
                                <a:cubicBezTo>
                                  <a:pt x="920" y="181"/>
                                  <a:pt x="880" y="222"/>
                                  <a:pt x="822" y="222"/>
                                </a:cubicBezTo>
                                <a:cubicBezTo>
                                  <a:pt x="778" y="222"/>
                                  <a:pt x="778" y="222"/>
                                  <a:pt x="778" y="222"/>
                                </a:cubicBezTo>
                                <a:cubicBezTo>
                                  <a:pt x="778" y="320"/>
                                  <a:pt x="778" y="320"/>
                                  <a:pt x="778" y="320"/>
                                </a:cubicBezTo>
                                <a:cubicBezTo>
                                  <a:pt x="731" y="320"/>
                                  <a:pt x="731" y="320"/>
                                  <a:pt x="731" y="320"/>
                                </a:cubicBezTo>
                                <a:cubicBezTo>
                                  <a:pt x="731" y="36"/>
                                  <a:pt x="731" y="36"/>
                                  <a:pt x="731" y="36"/>
                                </a:cubicBezTo>
                                <a:cubicBezTo>
                                  <a:pt x="822" y="36"/>
                                  <a:pt x="822" y="36"/>
                                  <a:pt x="822" y="36"/>
                                </a:cubicBezTo>
                                <a:cubicBezTo>
                                  <a:pt x="880" y="36"/>
                                  <a:pt x="920" y="76"/>
                                  <a:pt x="920" y="129"/>
                                </a:cubicBezTo>
                                <a:moveTo>
                                  <a:pt x="874" y="129"/>
                                </a:moveTo>
                                <a:cubicBezTo>
                                  <a:pt x="874" y="101"/>
                                  <a:pt x="855" y="80"/>
                                  <a:pt x="821" y="80"/>
                                </a:cubicBezTo>
                                <a:cubicBezTo>
                                  <a:pt x="778" y="80"/>
                                  <a:pt x="778" y="80"/>
                                  <a:pt x="778" y="80"/>
                                </a:cubicBezTo>
                                <a:cubicBezTo>
                                  <a:pt x="778" y="177"/>
                                  <a:pt x="778" y="177"/>
                                  <a:pt x="778" y="177"/>
                                </a:cubicBezTo>
                                <a:cubicBezTo>
                                  <a:pt x="821" y="177"/>
                                  <a:pt x="821" y="177"/>
                                  <a:pt x="821" y="177"/>
                                </a:cubicBezTo>
                                <a:cubicBezTo>
                                  <a:pt x="855" y="177"/>
                                  <a:pt x="874" y="156"/>
                                  <a:pt x="874" y="129"/>
                                </a:cubicBezTo>
                                <a:moveTo>
                                  <a:pt x="1026" y="324"/>
                                </a:moveTo>
                                <a:cubicBezTo>
                                  <a:pt x="967" y="324"/>
                                  <a:pt x="927" y="276"/>
                                  <a:pt x="927" y="220"/>
                                </a:cubicBezTo>
                                <a:cubicBezTo>
                                  <a:pt x="927" y="163"/>
                                  <a:pt x="967" y="116"/>
                                  <a:pt x="1026" y="116"/>
                                </a:cubicBezTo>
                                <a:cubicBezTo>
                                  <a:pt x="1050" y="116"/>
                                  <a:pt x="1071" y="124"/>
                                  <a:pt x="1085" y="138"/>
                                </a:cubicBezTo>
                                <a:cubicBezTo>
                                  <a:pt x="1085" y="120"/>
                                  <a:pt x="1085" y="120"/>
                                  <a:pt x="1085" y="120"/>
                                </a:cubicBezTo>
                                <a:cubicBezTo>
                                  <a:pt x="1129" y="120"/>
                                  <a:pt x="1129" y="120"/>
                                  <a:pt x="1129" y="120"/>
                                </a:cubicBezTo>
                                <a:cubicBezTo>
                                  <a:pt x="1129" y="320"/>
                                  <a:pt x="1129" y="320"/>
                                  <a:pt x="1129" y="320"/>
                                </a:cubicBezTo>
                                <a:cubicBezTo>
                                  <a:pt x="1085" y="320"/>
                                  <a:pt x="1085" y="320"/>
                                  <a:pt x="1085" y="320"/>
                                </a:cubicBezTo>
                                <a:cubicBezTo>
                                  <a:pt x="1085" y="301"/>
                                  <a:pt x="1085" y="301"/>
                                  <a:pt x="1085" y="301"/>
                                </a:cubicBezTo>
                                <a:cubicBezTo>
                                  <a:pt x="1071" y="316"/>
                                  <a:pt x="1050" y="324"/>
                                  <a:pt x="1026" y="324"/>
                                </a:cubicBezTo>
                                <a:moveTo>
                                  <a:pt x="1032" y="284"/>
                                </a:moveTo>
                                <a:cubicBezTo>
                                  <a:pt x="1057" y="284"/>
                                  <a:pt x="1075" y="272"/>
                                  <a:pt x="1085" y="256"/>
                                </a:cubicBezTo>
                                <a:cubicBezTo>
                                  <a:pt x="1085" y="184"/>
                                  <a:pt x="1085" y="184"/>
                                  <a:pt x="1085" y="184"/>
                                </a:cubicBezTo>
                                <a:cubicBezTo>
                                  <a:pt x="1075" y="168"/>
                                  <a:pt x="1057" y="156"/>
                                  <a:pt x="1032" y="156"/>
                                </a:cubicBezTo>
                                <a:cubicBezTo>
                                  <a:pt x="996" y="156"/>
                                  <a:pt x="972" y="185"/>
                                  <a:pt x="972" y="220"/>
                                </a:cubicBezTo>
                                <a:cubicBezTo>
                                  <a:pt x="972" y="255"/>
                                  <a:pt x="996" y="284"/>
                                  <a:pt x="1032" y="284"/>
                                </a:cubicBezTo>
                                <a:moveTo>
                                  <a:pt x="1175" y="320"/>
                                </a:moveTo>
                                <a:cubicBezTo>
                                  <a:pt x="1219" y="320"/>
                                  <a:pt x="1219" y="320"/>
                                  <a:pt x="1219" y="320"/>
                                </a:cubicBezTo>
                                <a:cubicBezTo>
                                  <a:pt x="1219" y="192"/>
                                  <a:pt x="1219" y="192"/>
                                  <a:pt x="1219" y="192"/>
                                </a:cubicBezTo>
                                <a:cubicBezTo>
                                  <a:pt x="1228" y="171"/>
                                  <a:pt x="1248" y="161"/>
                                  <a:pt x="1266" y="161"/>
                                </a:cubicBezTo>
                                <a:cubicBezTo>
                                  <a:pt x="1273" y="161"/>
                                  <a:pt x="1279" y="161"/>
                                  <a:pt x="1283" y="163"/>
                                </a:cubicBezTo>
                                <a:cubicBezTo>
                                  <a:pt x="1290" y="120"/>
                                  <a:pt x="1290" y="120"/>
                                  <a:pt x="1290" y="120"/>
                                </a:cubicBezTo>
                                <a:cubicBezTo>
                                  <a:pt x="1285" y="119"/>
                                  <a:pt x="1278" y="118"/>
                                  <a:pt x="1269" y="118"/>
                                </a:cubicBezTo>
                                <a:cubicBezTo>
                                  <a:pt x="1247" y="118"/>
                                  <a:pt x="1226" y="131"/>
                                  <a:pt x="1219" y="147"/>
                                </a:cubicBezTo>
                                <a:cubicBezTo>
                                  <a:pt x="1219" y="120"/>
                                  <a:pt x="1219" y="120"/>
                                  <a:pt x="1219" y="120"/>
                                </a:cubicBezTo>
                                <a:cubicBezTo>
                                  <a:pt x="1175" y="120"/>
                                  <a:pt x="1175" y="120"/>
                                  <a:pt x="1175" y="120"/>
                                </a:cubicBezTo>
                                <a:lnTo>
                                  <a:pt x="1175" y="320"/>
                                </a:lnTo>
                                <a:close/>
                                <a:moveTo>
                                  <a:pt x="1310" y="320"/>
                                </a:moveTo>
                                <a:cubicBezTo>
                                  <a:pt x="1354" y="320"/>
                                  <a:pt x="1354" y="320"/>
                                  <a:pt x="1354" y="320"/>
                                </a:cubicBezTo>
                                <a:cubicBezTo>
                                  <a:pt x="1354" y="223"/>
                                  <a:pt x="1354" y="223"/>
                                  <a:pt x="1354" y="223"/>
                                </a:cubicBezTo>
                                <a:cubicBezTo>
                                  <a:pt x="1450" y="320"/>
                                  <a:pt x="1450" y="320"/>
                                  <a:pt x="1450" y="320"/>
                                </a:cubicBezTo>
                                <a:cubicBezTo>
                                  <a:pt x="1506" y="320"/>
                                  <a:pt x="1506" y="320"/>
                                  <a:pt x="1506" y="320"/>
                                </a:cubicBezTo>
                                <a:cubicBezTo>
                                  <a:pt x="1397" y="209"/>
                                  <a:pt x="1397" y="209"/>
                                  <a:pt x="1397" y="209"/>
                                </a:cubicBezTo>
                                <a:cubicBezTo>
                                  <a:pt x="1486" y="120"/>
                                  <a:pt x="1486" y="120"/>
                                  <a:pt x="1486" y="120"/>
                                </a:cubicBezTo>
                                <a:cubicBezTo>
                                  <a:pt x="1430" y="120"/>
                                  <a:pt x="1430" y="120"/>
                                  <a:pt x="1430" y="120"/>
                                </a:cubicBezTo>
                                <a:cubicBezTo>
                                  <a:pt x="1354" y="196"/>
                                  <a:pt x="1354" y="196"/>
                                  <a:pt x="1354" y="196"/>
                                </a:cubicBezTo>
                                <a:cubicBezTo>
                                  <a:pt x="1354" y="28"/>
                                  <a:pt x="1354" y="28"/>
                                  <a:pt x="1354" y="28"/>
                                </a:cubicBezTo>
                                <a:cubicBezTo>
                                  <a:pt x="1310" y="28"/>
                                  <a:pt x="1310" y="28"/>
                                  <a:pt x="1310" y="28"/>
                                </a:cubicBezTo>
                                <a:lnTo>
                                  <a:pt x="1310" y="320"/>
                                </a:lnTo>
                                <a:close/>
                                <a:moveTo>
                                  <a:pt x="1593" y="116"/>
                                </a:moveTo>
                                <a:cubicBezTo>
                                  <a:pt x="1645" y="116"/>
                                  <a:pt x="1689" y="151"/>
                                  <a:pt x="1689" y="215"/>
                                </a:cubicBezTo>
                                <a:cubicBezTo>
                                  <a:pt x="1689" y="220"/>
                                  <a:pt x="1689" y="223"/>
                                  <a:pt x="1689" y="230"/>
                                </a:cubicBezTo>
                                <a:cubicBezTo>
                                  <a:pt x="1531" y="230"/>
                                  <a:pt x="1531" y="230"/>
                                  <a:pt x="1531" y="230"/>
                                </a:cubicBezTo>
                                <a:cubicBezTo>
                                  <a:pt x="1533" y="262"/>
                                  <a:pt x="1560" y="284"/>
                                  <a:pt x="1593" y="284"/>
                                </a:cubicBezTo>
                                <a:cubicBezTo>
                                  <a:pt x="1621" y="284"/>
                                  <a:pt x="1640" y="271"/>
                                  <a:pt x="1650" y="254"/>
                                </a:cubicBezTo>
                                <a:cubicBezTo>
                                  <a:pt x="1684" y="278"/>
                                  <a:pt x="1684" y="278"/>
                                  <a:pt x="1684" y="278"/>
                                </a:cubicBezTo>
                                <a:cubicBezTo>
                                  <a:pt x="1666" y="306"/>
                                  <a:pt x="1635" y="324"/>
                                  <a:pt x="1593" y="324"/>
                                </a:cubicBezTo>
                                <a:cubicBezTo>
                                  <a:pt x="1532" y="324"/>
                                  <a:pt x="1488" y="281"/>
                                  <a:pt x="1488" y="220"/>
                                </a:cubicBezTo>
                                <a:cubicBezTo>
                                  <a:pt x="1488" y="161"/>
                                  <a:pt x="1532" y="116"/>
                                  <a:pt x="1593" y="116"/>
                                </a:cubicBezTo>
                                <a:moveTo>
                                  <a:pt x="1533" y="198"/>
                                </a:moveTo>
                                <a:cubicBezTo>
                                  <a:pt x="1645" y="198"/>
                                  <a:pt x="1645" y="198"/>
                                  <a:pt x="1645" y="198"/>
                                </a:cubicBezTo>
                                <a:cubicBezTo>
                                  <a:pt x="1640" y="169"/>
                                  <a:pt x="1617" y="153"/>
                                  <a:pt x="1591" y="153"/>
                                </a:cubicBezTo>
                                <a:cubicBezTo>
                                  <a:pt x="1565" y="153"/>
                                  <a:pt x="1539" y="168"/>
                                  <a:pt x="1533" y="198"/>
                                </a:cubicBezTo>
                                <a:moveTo>
                                  <a:pt x="1784" y="324"/>
                                </a:moveTo>
                                <a:cubicBezTo>
                                  <a:pt x="1825" y="324"/>
                                  <a:pt x="1857" y="301"/>
                                  <a:pt x="1857" y="262"/>
                                </a:cubicBezTo>
                                <a:cubicBezTo>
                                  <a:pt x="1857" y="229"/>
                                  <a:pt x="1836" y="212"/>
                                  <a:pt x="1801" y="201"/>
                                </a:cubicBezTo>
                                <a:cubicBezTo>
                                  <a:pt x="1780" y="195"/>
                                  <a:pt x="1780" y="195"/>
                                  <a:pt x="1780" y="195"/>
                                </a:cubicBezTo>
                                <a:cubicBezTo>
                                  <a:pt x="1761" y="190"/>
                                  <a:pt x="1756" y="181"/>
                                  <a:pt x="1756" y="171"/>
                                </a:cubicBezTo>
                                <a:cubicBezTo>
                                  <a:pt x="1756" y="159"/>
                                  <a:pt x="1770" y="153"/>
                                  <a:pt x="1783" y="153"/>
                                </a:cubicBezTo>
                                <a:cubicBezTo>
                                  <a:pt x="1799" y="153"/>
                                  <a:pt x="1812" y="161"/>
                                  <a:pt x="1821" y="173"/>
                                </a:cubicBezTo>
                                <a:cubicBezTo>
                                  <a:pt x="1851" y="150"/>
                                  <a:pt x="1851" y="150"/>
                                  <a:pt x="1851" y="150"/>
                                </a:cubicBezTo>
                                <a:cubicBezTo>
                                  <a:pt x="1837" y="128"/>
                                  <a:pt x="1814" y="116"/>
                                  <a:pt x="1784" y="116"/>
                                </a:cubicBezTo>
                                <a:cubicBezTo>
                                  <a:pt x="1744" y="116"/>
                                  <a:pt x="1712" y="137"/>
                                  <a:pt x="1712" y="173"/>
                                </a:cubicBezTo>
                                <a:cubicBezTo>
                                  <a:pt x="1712" y="203"/>
                                  <a:pt x="1730" y="225"/>
                                  <a:pt x="1765" y="234"/>
                                </a:cubicBezTo>
                                <a:cubicBezTo>
                                  <a:pt x="1782" y="239"/>
                                  <a:pt x="1782" y="239"/>
                                  <a:pt x="1782" y="239"/>
                                </a:cubicBezTo>
                                <a:cubicBezTo>
                                  <a:pt x="1806" y="246"/>
                                  <a:pt x="1813" y="253"/>
                                  <a:pt x="1813" y="265"/>
                                </a:cubicBezTo>
                                <a:cubicBezTo>
                                  <a:pt x="1813" y="279"/>
                                  <a:pt x="1800" y="286"/>
                                  <a:pt x="1784" y="286"/>
                                </a:cubicBezTo>
                                <a:cubicBezTo>
                                  <a:pt x="1764" y="286"/>
                                  <a:pt x="1744" y="276"/>
                                  <a:pt x="1736" y="258"/>
                                </a:cubicBezTo>
                                <a:cubicBezTo>
                                  <a:pt x="1704" y="282"/>
                                  <a:pt x="1704" y="282"/>
                                  <a:pt x="1704" y="282"/>
                                </a:cubicBezTo>
                                <a:cubicBezTo>
                                  <a:pt x="1718" y="310"/>
                                  <a:pt x="1749" y="324"/>
                                  <a:pt x="1784" y="324"/>
                                </a:cubicBezTo>
                                <a:moveTo>
                                  <a:pt x="716" y="539"/>
                                </a:moveTo>
                                <a:cubicBezTo>
                                  <a:pt x="724" y="557"/>
                                  <a:pt x="748" y="572"/>
                                  <a:pt x="779" y="572"/>
                                </a:cubicBezTo>
                                <a:cubicBezTo>
                                  <a:pt x="812" y="572"/>
                                  <a:pt x="835" y="553"/>
                                  <a:pt x="835" y="523"/>
                                </a:cubicBezTo>
                                <a:cubicBezTo>
                                  <a:pt x="835" y="496"/>
                                  <a:pt x="820" y="481"/>
                                  <a:pt x="793" y="470"/>
                                </a:cubicBezTo>
                                <a:cubicBezTo>
                                  <a:pt x="769" y="461"/>
                                  <a:pt x="769" y="461"/>
                                  <a:pt x="769" y="461"/>
                                </a:cubicBezTo>
                                <a:cubicBezTo>
                                  <a:pt x="750" y="454"/>
                                  <a:pt x="741" y="446"/>
                                  <a:pt x="741" y="430"/>
                                </a:cubicBezTo>
                                <a:cubicBezTo>
                                  <a:pt x="741" y="413"/>
                                  <a:pt x="757" y="402"/>
                                  <a:pt x="777" y="402"/>
                                </a:cubicBezTo>
                                <a:cubicBezTo>
                                  <a:pt x="794" y="402"/>
                                  <a:pt x="805" y="409"/>
                                  <a:pt x="814" y="420"/>
                                </a:cubicBezTo>
                                <a:cubicBezTo>
                                  <a:pt x="829" y="408"/>
                                  <a:pt x="829" y="408"/>
                                  <a:pt x="829" y="408"/>
                                </a:cubicBezTo>
                                <a:cubicBezTo>
                                  <a:pt x="819" y="394"/>
                                  <a:pt x="801" y="383"/>
                                  <a:pt x="778" y="383"/>
                                </a:cubicBezTo>
                                <a:cubicBezTo>
                                  <a:pt x="746" y="383"/>
                                  <a:pt x="722" y="401"/>
                                  <a:pt x="722" y="430"/>
                                </a:cubicBezTo>
                                <a:cubicBezTo>
                                  <a:pt x="722" y="455"/>
                                  <a:pt x="734" y="469"/>
                                  <a:pt x="762" y="480"/>
                                </a:cubicBezTo>
                                <a:cubicBezTo>
                                  <a:pt x="789" y="490"/>
                                  <a:pt x="789" y="490"/>
                                  <a:pt x="789" y="490"/>
                                </a:cubicBezTo>
                                <a:cubicBezTo>
                                  <a:pt x="806" y="496"/>
                                  <a:pt x="816" y="507"/>
                                  <a:pt x="816" y="523"/>
                                </a:cubicBezTo>
                                <a:cubicBezTo>
                                  <a:pt x="816" y="542"/>
                                  <a:pt x="799" y="553"/>
                                  <a:pt x="779" y="553"/>
                                </a:cubicBezTo>
                                <a:cubicBezTo>
                                  <a:pt x="757" y="553"/>
                                  <a:pt x="742" y="543"/>
                                  <a:pt x="732" y="527"/>
                                </a:cubicBezTo>
                                <a:cubicBezTo>
                                  <a:pt x="716" y="539"/>
                                  <a:pt x="716" y="539"/>
                                  <a:pt x="716" y="539"/>
                                </a:cubicBezTo>
                                <a:moveTo>
                                  <a:pt x="859" y="569"/>
                                </a:moveTo>
                                <a:cubicBezTo>
                                  <a:pt x="877" y="569"/>
                                  <a:pt x="877" y="569"/>
                                  <a:pt x="877" y="569"/>
                                </a:cubicBezTo>
                                <a:cubicBezTo>
                                  <a:pt x="877" y="483"/>
                                  <a:pt x="877" y="483"/>
                                  <a:pt x="877" y="483"/>
                                </a:cubicBezTo>
                                <a:cubicBezTo>
                                  <a:pt x="882" y="466"/>
                                  <a:pt x="895" y="454"/>
                                  <a:pt x="915" y="454"/>
                                </a:cubicBezTo>
                                <a:cubicBezTo>
                                  <a:pt x="936" y="454"/>
                                  <a:pt x="950" y="467"/>
                                  <a:pt x="950" y="491"/>
                                </a:cubicBezTo>
                                <a:cubicBezTo>
                                  <a:pt x="950" y="569"/>
                                  <a:pt x="950" y="569"/>
                                  <a:pt x="950" y="569"/>
                                </a:cubicBezTo>
                                <a:cubicBezTo>
                                  <a:pt x="968" y="569"/>
                                  <a:pt x="968" y="569"/>
                                  <a:pt x="968" y="569"/>
                                </a:cubicBezTo>
                                <a:cubicBezTo>
                                  <a:pt x="968" y="488"/>
                                  <a:pt x="968" y="488"/>
                                  <a:pt x="968" y="488"/>
                                </a:cubicBezTo>
                                <a:cubicBezTo>
                                  <a:pt x="968" y="457"/>
                                  <a:pt x="947" y="438"/>
                                  <a:pt x="919" y="438"/>
                                </a:cubicBezTo>
                                <a:cubicBezTo>
                                  <a:pt x="903" y="438"/>
                                  <a:pt x="886" y="444"/>
                                  <a:pt x="877" y="458"/>
                                </a:cubicBezTo>
                                <a:cubicBezTo>
                                  <a:pt x="877" y="381"/>
                                  <a:pt x="877" y="381"/>
                                  <a:pt x="877" y="381"/>
                                </a:cubicBezTo>
                                <a:cubicBezTo>
                                  <a:pt x="859" y="381"/>
                                  <a:pt x="859" y="381"/>
                                  <a:pt x="859" y="381"/>
                                </a:cubicBezTo>
                                <a:lnTo>
                                  <a:pt x="859" y="569"/>
                                </a:lnTo>
                                <a:close/>
                                <a:moveTo>
                                  <a:pt x="996" y="393"/>
                                </a:moveTo>
                                <a:cubicBezTo>
                                  <a:pt x="996" y="386"/>
                                  <a:pt x="1002" y="380"/>
                                  <a:pt x="1010" y="380"/>
                                </a:cubicBezTo>
                                <a:cubicBezTo>
                                  <a:pt x="1017" y="380"/>
                                  <a:pt x="1023" y="386"/>
                                  <a:pt x="1023" y="393"/>
                                </a:cubicBezTo>
                                <a:cubicBezTo>
                                  <a:pt x="1023" y="401"/>
                                  <a:pt x="1017" y="407"/>
                                  <a:pt x="1010" y="407"/>
                                </a:cubicBezTo>
                                <a:cubicBezTo>
                                  <a:pt x="1002" y="407"/>
                                  <a:pt x="996" y="401"/>
                                  <a:pt x="996" y="393"/>
                                </a:cubicBezTo>
                                <a:moveTo>
                                  <a:pt x="1000" y="440"/>
                                </a:moveTo>
                                <a:cubicBezTo>
                                  <a:pt x="1018" y="440"/>
                                  <a:pt x="1018" y="440"/>
                                  <a:pt x="1018" y="440"/>
                                </a:cubicBezTo>
                                <a:cubicBezTo>
                                  <a:pt x="1018" y="569"/>
                                  <a:pt x="1018" y="569"/>
                                  <a:pt x="1018" y="569"/>
                                </a:cubicBezTo>
                                <a:cubicBezTo>
                                  <a:pt x="1000" y="569"/>
                                  <a:pt x="1000" y="569"/>
                                  <a:pt x="1000" y="569"/>
                                </a:cubicBezTo>
                                <a:lnTo>
                                  <a:pt x="1000" y="440"/>
                                </a:lnTo>
                                <a:close/>
                                <a:moveTo>
                                  <a:pt x="1053" y="569"/>
                                </a:moveTo>
                                <a:cubicBezTo>
                                  <a:pt x="1071" y="569"/>
                                  <a:pt x="1071" y="569"/>
                                  <a:pt x="1071" y="569"/>
                                </a:cubicBezTo>
                                <a:cubicBezTo>
                                  <a:pt x="1071" y="485"/>
                                  <a:pt x="1071" y="485"/>
                                  <a:pt x="1071" y="485"/>
                                </a:cubicBezTo>
                                <a:cubicBezTo>
                                  <a:pt x="1076" y="467"/>
                                  <a:pt x="1090" y="457"/>
                                  <a:pt x="1104" y="457"/>
                                </a:cubicBezTo>
                                <a:cubicBezTo>
                                  <a:pt x="1107" y="457"/>
                                  <a:pt x="1111" y="457"/>
                                  <a:pt x="1115" y="458"/>
                                </a:cubicBezTo>
                                <a:cubicBezTo>
                                  <a:pt x="1117" y="440"/>
                                  <a:pt x="1117" y="440"/>
                                  <a:pt x="1117" y="440"/>
                                </a:cubicBezTo>
                                <a:cubicBezTo>
                                  <a:pt x="1114" y="439"/>
                                  <a:pt x="1111" y="439"/>
                                  <a:pt x="1107" y="439"/>
                                </a:cubicBezTo>
                                <a:cubicBezTo>
                                  <a:pt x="1091" y="439"/>
                                  <a:pt x="1076" y="449"/>
                                  <a:pt x="1071" y="460"/>
                                </a:cubicBezTo>
                                <a:cubicBezTo>
                                  <a:pt x="1071" y="440"/>
                                  <a:pt x="1071" y="440"/>
                                  <a:pt x="1071" y="440"/>
                                </a:cubicBezTo>
                                <a:cubicBezTo>
                                  <a:pt x="1053" y="440"/>
                                  <a:pt x="1053" y="440"/>
                                  <a:pt x="1053" y="440"/>
                                </a:cubicBezTo>
                                <a:lnTo>
                                  <a:pt x="1053" y="569"/>
                                </a:lnTo>
                                <a:close/>
                                <a:moveTo>
                                  <a:pt x="1118" y="504"/>
                                </a:moveTo>
                                <a:cubicBezTo>
                                  <a:pt x="1118" y="467"/>
                                  <a:pt x="1145" y="438"/>
                                  <a:pt x="1184" y="438"/>
                                </a:cubicBezTo>
                                <a:cubicBezTo>
                                  <a:pt x="1218" y="438"/>
                                  <a:pt x="1244" y="461"/>
                                  <a:pt x="1245" y="503"/>
                                </a:cubicBezTo>
                                <a:cubicBezTo>
                                  <a:pt x="1245" y="507"/>
                                  <a:pt x="1245" y="507"/>
                                  <a:pt x="1245" y="507"/>
                                </a:cubicBezTo>
                                <a:cubicBezTo>
                                  <a:pt x="1136" y="507"/>
                                  <a:pt x="1136" y="507"/>
                                  <a:pt x="1136" y="507"/>
                                </a:cubicBezTo>
                                <a:cubicBezTo>
                                  <a:pt x="1137" y="534"/>
                                  <a:pt x="1156" y="554"/>
                                  <a:pt x="1184" y="554"/>
                                </a:cubicBezTo>
                                <a:cubicBezTo>
                                  <a:pt x="1205" y="554"/>
                                  <a:pt x="1218" y="545"/>
                                  <a:pt x="1226" y="530"/>
                                </a:cubicBezTo>
                                <a:cubicBezTo>
                                  <a:pt x="1241" y="540"/>
                                  <a:pt x="1241" y="540"/>
                                  <a:pt x="1241" y="540"/>
                                </a:cubicBezTo>
                                <a:cubicBezTo>
                                  <a:pt x="1230" y="559"/>
                                  <a:pt x="1211" y="571"/>
                                  <a:pt x="1184" y="571"/>
                                </a:cubicBezTo>
                                <a:cubicBezTo>
                                  <a:pt x="1144" y="571"/>
                                  <a:pt x="1118" y="541"/>
                                  <a:pt x="1118" y="504"/>
                                </a:cubicBezTo>
                                <a:moveTo>
                                  <a:pt x="1138" y="491"/>
                                </a:moveTo>
                                <a:cubicBezTo>
                                  <a:pt x="1226" y="491"/>
                                  <a:pt x="1226" y="491"/>
                                  <a:pt x="1226" y="491"/>
                                </a:cubicBezTo>
                                <a:cubicBezTo>
                                  <a:pt x="1223" y="468"/>
                                  <a:pt x="1205" y="454"/>
                                  <a:pt x="1184" y="454"/>
                                </a:cubicBezTo>
                                <a:cubicBezTo>
                                  <a:pt x="1162" y="454"/>
                                  <a:pt x="1142" y="468"/>
                                  <a:pt x="1138" y="491"/>
                                </a:cubicBezTo>
                                <a:moveTo>
                                  <a:pt x="1312" y="477"/>
                                </a:moveTo>
                                <a:cubicBezTo>
                                  <a:pt x="1312" y="531"/>
                                  <a:pt x="1354" y="572"/>
                                  <a:pt x="1406" y="572"/>
                                </a:cubicBezTo>
                                <a:cubicBezTo>
                                  <a:pt x="1440" y="572"/>
                                  <a:pt x="1469" y="555"/>
                                  <a:pt x="1486" y="529"/>
                                </a:cubicBezTo>
                                <a:cubicBezTo>
                                  <a:pt x="1469" y="519"/>
                                  <a:pt x="1469" y="519"/>
                                  <a:pt x="1469" y="519"/>
                                </a:cubicBezTo>
                                <a:cubicBezTo>
                                  <a:pt x="1456" y="539"/>
                                  <a:pt x="1434" y="553"/>
                                  <a:pt x="1406" y="553"/>
                                </a:cubicBezTo>
                                <a:cubicBezTo>
                                  <a:pt x="1364" y="553"/>
                                  <a:pt x="1332" y="520"/>
                                  <a:pt x="1332" y="477"/>
                                </a:cubicBezTo>
                                <a:cubicBezTo>
                                  <a:pt x="1332" y="435"/>
                                  <a:pt x="1364" y="402"/>
                                  <a:pt x="1406" y="402"/>
                                </a:cubicBezTo>
                                <a:cubicBezTo>
                                  <a:pt x="1434" y="402"/>
                                  <a:pt x="1456" y="415"/>
                                  <a:pt x="1469" y="436"/>
                                </a:cubicBezTo>
                                <a:cubicBezTo>
                                  <a:pt x="1486" y="426"/>
                                  <a:pt x="1486" y="426"/>
                                  <a:pt x="1486" y="426"/>
                                </a:cubicBezTo>
                                <a:cubicBezTo>
                                  <a:pt x="1469" y="400"/>
                                  <a:pt x="1440" y="383"/>
                                  <a:pt x="1406" y="383"/>
                                </a:cubicBezTo>
                                <a:cubicBezTo>
                                  <a:pt x="1354" y="383"/>
                                  <a:pt x="1312" y="424"/>
                                  <a:pt x="1312" y="477"/>
                                </a:cubicBezTo>
                                <a:moveTo>
                                  <a:pt x="1496" y="504"/>
                                </a:moveTo>
                                <a:cubicBezTo>
                                  <a:pt x="1496" y="468"/>
                                  <a:pt x="1524" y="438"/>
                                  <a:pt x="1563" y="438"/>
                                </a:cubicBezTo>
                                <a:cubicBezTo>
                                  <a:pt x="1602" y="438"/>
                                  <a:pt x="1630" y="468"/>
                                  <a:pt x="1630" y="504"/>
                                </a:cubicBezTo>
                                <a:cubicBezTo>
                                  <a:pt x="1630" y="541"/>
                                  <a:pt x="1602" y="571"/>
                                  <a:pt x="1563" y="571"/>
                                </a:cubicBezTo>
                                <a:cubicBezTo>
                                  <a:pt x="1524" y="571"/>
                                  <a:pt x="1496" y="541"/>
                                  <a:pt x="1496" y="504"/>
                                </a:cubicBezTo>
                                <a:moveTo>
                                  <a:pt x="1611" y="504"/>
                                </a:moveTo>
                                <a:cubicBezTo>
                                  <a:pt x="1611" y="477"/>
                                  <a:pt x="1592" y="454"/>
                                  <a:pt x="1563" y="454"/>
                                </a:cubicBezTo>
                                <a:cubicBezTo>
                                  <a:pt x="1533" y="454"/>
                                  <a:pt x="1514" y="477"/>
                                  <a:pt x="1514" y="504"/>
                                </a:cubicBezTo>
                                <a:cubicBezTo>
                                  <a:pt x="1514" y="532"/>
                                  <a:pt x="1533" y="554"/>
                                  <a:pt x="1563" y="554"/>
                                </a:cubicBezTo>
                                <a:cubicBezTo>
                                  <a:pt x="1592" y="554"/>
                                  <a:pt x="1611" y="532"/>
                                  <a:pt x="1611" y="504"/>
                                </a:cubicBezTo>
                                <a:moveTo>
                                  <a:pt x="1757" y="440"/>
                                </a:moveTo>
                                <a:cubicBezTo>
                                  <a:pt x="1739" y="440"/>
                                  <a:pt x="1739" y="440"/>
                                  <a:pt x="1739" y="440"/>
                                </a:cubicBezTo>
                                <a:cubicBezTo>
                                  <a:pt x="1739" y="526"/>
                                  <a:pt x="1739" y="526"/>
                                  <a:pt x="1739" y="526"/>
                                </a:cubicBezTo>
                                <a:cubicBezTo>
                                  <a:pt x="1734" y="542"/>
                                  <a:pt x="1721" y="554"/>
                                  <a:pt x="1703" y="554"/>
                                </a:cubicBezTo>
                                <a:cubicBezTo>
                                  <a:pt x="1683" y="554"/>
                                  <a:pt x="1670" y="541"/>
                                  <a:pt x="1670" y="518"/>
                                </a:cubicBezTo>
                                <a:cubicBezTo>
                                  <a:pt x="1670" y="440"/>
                                  <a:pt x="1670" y="440"/>
                                  <a:pt x="1670" y="440"/>
                                </a:cubicBezTo>
                                <a:cubicBezTo>
                                  <a:pt x="1652" y="440"/>
                                  <a:pt x="1652" y="440"/>
                                  <a:pt x="1652" y="440"/>
                                </a:cubicBezTo>
                                <a:cubicBezTo>
                                  <a:pt x="1652" y="521"/>
                                  <a:pt x="1652" y="521"/>
                                  <a:pt x="1652" y="521"/>
                                </a:cubicBezTo>
                                <a:cubicBezTo>
                                  <a:pt x="1652" y="552"/>
                                  <a:pt x="1672" y="571"/>
                                  <a:pt x="1699" y="571"/>
                                </a:cubicBezTo>
                                <a:cubicBezTo>
                                  <a:pt x="1714" y="571"/>
                                  <a:pt x="1730" y="565"/>
                                  <a:pt x="1739" y="551"/>
                                </a:cubicBezTo>
                                <a:cubicBezTo>
                                  <a:pt x="1739" y="569"/>
                                  <a:pt x="1739" y="569"/>
                                  <a:pt x="1739" y="569"/>
                                </a:cubicBezTo>
                                <a:cubicBezTo>
                                  <a:pt x="1757" y="569"/>
                                  <a:pt x="1757" y="569"/>
                                  <a:pt x="1757" y="569"/>
                                </a:cubicBezTo>
                                <a:lnTo>
                                  <a:pt x="1757" y="440"/>
                                </a:lnTo>
                                <a:close/>
                                <a:moveTo>
                                  <a:pt x="1792" y="569"/>
                                </a:moveTo>
                                <a:cubicBezTo>
                                  <a:pt x="1810" y="569"/>
                                  <a:pt x="1810" y="569"/>
                                  <a:pt x="1810" y="569"/>
                                </a:cubicBezTo>
                                <a:cubicBezTo>
                                  <a:pt x="1810" y="483"/>
                                  <a:pt x="1810" y="483"/>
                                  <a:pt x="1810" y="483"/>
                                </a:cubicBezTo>
                                <a:cubicBezTo>
                                  <a:pt x="1815" y="466"/>
                                  <a:pt x="1828" y="454"/>
                                  <a:pt x="1848" y="454"/>
                                </a:cubicBezTo>
                                <a:cubicBezTo>
                                  <a:pt x="1869" y="454"/>
                                  <a:pt x="1882" y="467"/>
                                  <a:pt x="1882" y="491"/>
                                </a:cubicBezTo>
                                <a:cubicBezTo>
                                  <a:pt x="1882" y="569"/>
                                  <a:pt x="1882" y="569"/>
                                  <a:pt x="1882" y="569"/>
                                </a:cubicBezTo>
                                <a:cubicBezTo>
                                  <a:pt x="1900" y="569"/>
                                  <a:pt x="1900" y="569"/>
                                  <a:pt x="1900" y="569"/>
                                </a:cubicBezTo>
                                <a:cubicBezTo>
                                  <a:pt x="1900" y="488"/>
                                  <a:pt x="1900" y="488"/>
                                  <a:pt x="1900" y="488"/>
                                </a:cubicBezTo>
                                <a:cubicBezTo>
                                  <a:pt x="1900" y="457"/>
                                  <a:pt x="1880" y="438"/>
                                  <a:pt x="1852" y="438"/>
                                </a:cubicBezTo>
                                <a:cubicBezTo>
                                  <a:pt x="1835" y="438"/>
                                  <a:pt x="1819" y="444"/>
                                  <a:pt x="1810" y="458"/>
                                </a:cubicBezTo>
                                <a:cubicBezTo>
                                  <a:pt x="1810" y="440"/>
                                  <a:pt x="1810" y="440"/>
                                  <a:pt x="1810" y="440"/>
                                </a:cubicBezTo>
                                <a:cubicBezTo>
                                  <a:pt x="1792" y="440"/>
                                  <a:pt x="1792" y="440"/>
                                  <a:pt x="1792" y="440"/>
                                </a:cubicBezTo>
                                <a:lnTo>
                                  <a:pt x="1792" y="569"/>
                                </a:lnTo>
                                <a:close/>
                                <a:moveTo>
                                  <a:pt x="1922" y="504"/>
                                </a:moveTo>
                                <a:cubicBezTo>
                                  <a:pt x="1922" y="541"/>
                                  <a:pt x="1950" y="571"/>
                                  <a:pt x="1989" y="571"/>
                                </a:cubicBezTo>
                                <a:cubicBezTo>
                                  <a:pt x="2016" y="571"/>
                                  <a:pt x="2037" y="557"/>
                                  <a:pt x="2048" y="537"/>
                                </a:cubicBezTo>
                                <a:cubicBezTo>
                                  <a:pt x="2032" y="528"/>
                                  <a:pt x="2032" y="528"/>
                                  <a:pt x="2032" y="528"/>
                                </a:cubicBezTo>
                                <a:cubicBezTo>
                                  <a:pt x="2025" y="544"/>
                                  <a:pt x="2009" y="554"/>
                                  <a:pt x="1989" y="554"/>
                                </a:cubicBezTo>
                                <a:cubicBezTo>
                                  <a:pt x="1960" y="554"/>
                                  <a:pt x="1941" y="532"/>
                                  <a:pt x="1941" y="504"/>
                                </a:cubicBezTo>
                                <a:cubicBezTo>
                                  <a:pt x="1941" y="477"/>
                                  <a:pt x="1960" y="454"/>
                                  <a:pt x="1989" y="454"/>
                                </a:cubicBezTo>
                                <a:cubicBezTo>
                                  <a:pt x="2009" y="454"/>
                                  <a:pt x="2025" y="465"/>
                                  <a:pt x="2032" y="480"/>
                                </a:cubicBezTo>
                                <a:cubicBezTo>
                                  <a:pt x="2048" y="471"/>
                                  <a:pt x="2048" y="471"/>
                                  <a:pt x="2048" y="471"/>
                                </a:cubicBezTo>
                                <a:cubicBezTo>
                                  <a:pt x="2037" y="451"/>
                                  <a:pt x="2016" y="438"/>
                                  <a:pt x="1989" y="438"/>
                                </a:cubicBezTo>
                                <a:cubicBezTo>
                                  <a:pt x="1950" y="438"/>
                                  <a:pt x="1922" y="468"/>
                                  <a:pt x="1922" y="504"/>
                                </a:cubicBezTo>
                                <a:moveTo>
                                  <a:pt x="2064" y="393"/>
                                </a:moveTo>
                                <a:cubicBezTo>
                                  <a:pt x="2064" y="386"/>
                                  <a:pt x="2071" y="380"/>
                                  <a:pt x="2078" y="380"/>
                                </a:cubicBezTo>
                                <a:cubicBezTo>
                                  <a:pt x="2086" y="380"/>
                                  <a:pt x="2092" y="386"/>
                                  <a:pt x="2092" y="393"/>
                                </a:cubicBezTo>
                                <a:cubicBezTo>
                                  <a:pt x="2092" y="401"/>
                                  <a:pt x="2086" y="407"/>
                                  <a:pt x="2078" y="407"/>
                                </a:cubicBezTo>
                                <a:cubicBezTo>
                                  <a:pt x="2071" y="407"/>
                                  <a:pt x="2064" y="401"/>
                                  <a:pt x="2064" y="393"/>
                                </a:cubicBezTo>
                                <a:moveTo>
                                  <a:pt x="2069" y="440"/>
                                </a:moveTo>
                                <a:cubicBezTo>
                                  <a:pt x="2087" y="440"/>
                                  <a:pt x="2087" y="440"/>
                                  <a:pt x="2087" y="440"/>
                                </a:cubicBezTo>
                                <a:cubicBezTo>
                                  <a:pt x="2087" y="569"/>
                                  <a:pt x="2087" y="569"/>
                                  <a:pt x="2087" y="569"/>
                                </a:cubicBezTo>
                                <a:cubicBezTo>
                                  <a:pt x="2069" y="569"/>
                                  <a:pt x="2069" y="569"/>
                                  <a:pt x="2069" y="569"/>
                                </a:cubicBezTo>
                                <a:lnTo>
                                  <a:pt x="2069" y="440"/>
                                </a:lnTo>
                                <a:close/>
                                <a:moveTo>
                                  <a:pt x="2122" y="569"/>
                                </a:moveTo>
                                <a:cubicBezTo>
                                  <a:pt x="2140" y="569"/>
                                  <a:pt x="2140" y="569"/>
                                  <a:pt x="2140" y="569"/>
                                </a:cubicBezTo>
                                <a:cubicBezTo>
                                  <a:pt x="2140" y="381"/>
                                  <a:pt x="2140" y="381"/>
                                  <a:pt x="2140" y="381"/>
                                </a:cubicBezTo>
                                <a:cubicBezTo>
                                  <a:pt x="2122" y="381"/>
                                  <a:pt x="2122" y="381"/>
                                  <a:pt x="2122" y="381"/>
                                </a:cubicBezTo>
                                <a:lnTo>
                                  <a:pt x="2122" y="569"/>
                                </a:lnTo>
                                <a:close/>
                                <a:moveTo>
                                  <a:pt x="530" y="238"/>
                                </a:moveTo>
                                <a:cubicBezTo>
                                  <a:pt x="582" y="307"/>
                                  <a:pt x="625" y="388"/>
                                  <a:pt x="625" y="470"/>
                                </a:cubicBezTo>
                                <a:cubicBezTo>
                                  <a:pt x="623" y="533"/>
                                  <a:pt x="574" y="575"/>
                                  <a:pt x="512" y="572"/>
                                </a:cubicBezTo>
                                <a:cubicBezTo>
                                  <a:pt x="437" y="569"/>
                                  <a:pt x="370" y="532"/>
                                  <a:pt x="311" y="491"/>
                                </a:cubicBezTo>
                                <a:cubicBezTo>
                                  <a:pt x="206" y="416"/>
                                  <a:pt x="103" y="307"/>
                                  <a:pt x="58" y="182"/>
                                </a:cubicBezTo>
                                <a:cubicBezTo>
                                  <a:pt x="46" y="235"/>
                                  <a:pt x="51" y="291"/>
                                  <a:pt x="71" y="342"/>
                                </a:cubicBezTo>
                                <a:cubicBezTo>
                                  <a:pt x="73" y="347"/>
                                  <a:pt x="78" y="360"/>
                                  <a:pt x="80" y="364"/>
                                </a:cubicBezTo>
                                <a:cubicBezTo>
                                  <a:pt x="83" y="369"/>
                                  <a:pt x="89" y="381"/>
                                  <a:pt x="92" y="386"/>
                                </a:cubicBezTo>
                                <a:cubicBezTo>
                                  <a:pt x="154" y="489"/>
                                  <a:pt x="250" y="574"/>
                                  <a:pt x="379" y="583"/>
                                </a:cubicBezTo>
                                <a:cubicBezTo>
                                  <a:pt x="379" y="583"/>
                                  <a:pt x="380" y="583"/>
                                  <a:pt x="379" y="583"/>
                                </a:cubicBezTo>
                                <a:cubicBezTo>
                                  <a:pt x="285" y="594"/>
                                  <a:pt x="188" y="559"/>
                                  <a:pt x="118" y="494"/>
                                </a:cubicBezTo>
                                <a:cubicBezTo>
                                  <a:pt x="81" y="455"/>
                                  <a:pt x="50" y="409"/>
                                  <a:pt x="30" y="358"/>
                                </a:cubicBezTo>
                                <a:cubicBezTo>
                                  <a:pt x="2" y="286"/>
                                  <a:pt x="0" y="204"/>
                                  <a:pt x="27" y="132"/>
                                </a:cubicBezTo>
                                <a:cubicBezTo>
                                  <a:pt x="38" y="100"/>
                                  <a:pt x="82" y="104"/>
                                  <a:pt x="90" y="137"/>
                                </a:cubicBezTo>
                                <a:cubicBezTo>
                                  <a:pt x="130" y="292"/>
                                  <a:pt x="302" y="463"/>
                                  <a:pt x="452" y="516"/>
                                </a:cubicBezTo>
                                <a:cubicBezTo>
                                  <a:pt x="639" y="576"/>
                                  <a:pt x="585" y="396"/>
                                  <a:pt x="519" y="299"/>
                                </a:cubicBezTo>
                                <a:cubicBezTo>
                                  <a:pt x="511" y="347"/>
                                  <a:pt x="499" y="394"/>
                                  <a:pt x="484" y="440"/>
                                </a:cubicBezTo>
                                <a:cubicBezTo>
                                  <a:pt x="478" y="458"/>
                                  <a:pt x="472" y="475"/>
                                  <a:pt x="464" y="493"/>
                                </a:cubicBezTo>
                                <a:cubicBezTo>
                                  <a:pt x="463" y="494"/>
                                  <a:pt x="461" y="494"/>
                                  <a:pt x="461" y="492"/>
                                </a:cubicBezTo>
                                <a:cubicBezTo>
                                  <a:pt x="461" y="380"/>
                                  <a:pt x="491" y="271"/>
                                  <a:pt x="519" y="164"/>
                                </a:cubicBezTo>
                                <a:cubicBezTo>
                                  <a:pt x="534" y="110"/>
                                  <a:pt x="534" y="110"/>
                                  <a:pt x="534" y="110"/>
                                </a:cubicBezTo>
                                <a:cubicBezTo>
                                  <a:pt x="539" y="95"/>
                                  <a:pt x="543" y="80"/>
                                  <a:pt x="548" y="66"/>
                                </a:cubicBezTo>
                                <a:cubicBezTo>
                                  <a:pt x="534" y="84"/>
                                  <a:pt x="519" y="103"/>
                                  <a:pt x="504" y="120"/>
                                </a:cubicBezTo>
                                <a:cubicBezTo>
                                  <a:pt x="492" y="135"/>
                                  <a:pt x="479" y="150"/>
                                  <a:pt x="467" y="164"/>
                                </a:cubicBezTo>
                                <a:cubicBezTo>
                                  <a:pt x="474" y="173"/>
                                  <a:pt x="483" y="181"/>
                                  <a:pt x="491" y="191"/>
                                </a:cubicBezTo>
                                <a:cubicBezTo>
                                  <a:pt x="485" y="206"/>
                                  <a:pt x="479" y="222"/>
                                  <a:pt x="474" y="238"/>
                                </a:cubicBezTo>
                                <a:cubicBezTo>
                                  <a:pt x="462" y="224"/>
                                  <a:pt x="450" y="210"/>
                                  <a:pt x="437" y="197"/>
                                </a:cubicBezTo>
                                <a:cubicBezTo>
                                  <a:pt x="424" y="210"/>
                                  <a:pt x="411" y="223"/>
                                  <a:pt x="397" y="235"/>
                                </a:cubicBezTo>
                                <a:cubicBezTo>
                                  <a:pt x="376" y="252"/>
                                  <a:pt x="355" y="268"/>
                                  <a:pt x="331" y="280"/>
                                </a:cubicBezTo>
                                <a:cubicBezTo>
                                  <a:pt x="330" y="281"/>
                                  <a:pt x="329" y="280"/>
                                  <a:pt x="329" y="278"/>
                                </a:cubicBezTo>
                                <a:cubicBezTo>
                                  <a:pt x="368" y="208"/>
                                  <a:pt x="429" y="156"/>
                                  <a:pt x="489" y="105"/>
                                </a:cubicBezTo>
                                <a:cubicBezTo>
                                  <a:pt x="507" y="90"/>
                                  <a:pt x="525" y="76"/>
                                  <a:pt x="544" y="62"/>
                                </a:cubicBezTo>
                                <a:cubicBezTo>
                                  <a:pt x="529" y="66"/>
                                  <a:pt x="514" y="71"/>
                                  <a:pt x="500" y="75"/>
                                </a:cubicBezTo>
                                <a:cubicBezTo>
                                  <a:pt x="468" y="84"/>
                                  <a:pt x="434" y="94"/>
                                  <a:pt x="400" y="102"/>
                                </a:cubicBezTo>
                                <a:cubicBezTo>
                                  <a:pt x="409" y="110"/>
                                  <a:pt x="418" y="118"/>
                                  <a:pt x="427" y="126"/>
                                </a:cubicBezTo>
                                <a:cubicBezTo>
                                  <a:pt x="422" y="130"/>
                                  <a:pt x="416" y="134"/>
                                  <a:pt x="411" y="138"/>
                                </a:cubicBezTo>
                                <a:cubicBezTo>
                                  <a:pt x="404" y="143"/>
                                  <a:pt x="398" y="148"/>
                                  <a:pt x="392" y="154"/>
                                </a:cubicBezTo>
                                <a:cubicBezTo>
                                  <a:pt x="377" y="141"/>
                                  <a:pt x="362" y="128"/>
                                  <a:pt x="346" y="116"/>
                                </a:cubicBezTo>
                                <a:cubicBezTo>
                                  <a:pt x="344" y="117"/>
                                  <a:pt x="341" y="117"/>
                                  <a:pt x="339" y="118"/>
                                </a:cubicBezTo>
                                <a:cubicBezTo>
                                  <a:pt x="285" y="131"/>
                                  <a:pt x="231" y="141"/>
                                  <a:pt x="176" y="146"/>
                                </a:cubicBezTo>
                                <a:cubicBezTo>
                                  <a:pt x="157" y="147"/>
                                  <a:pt x="139" y="149"/>
                                  <a:pt x="120" y="148"/>
                                </a:cubicBezTo>
                                <a:cubicBezTo>
                                  <a:pt x="118" y="148"/>
                                  <a:pt x="118" y="146"/>
                                  <a:pt x="119" y="145"/>
                                </a:cubicBezTo>
                                <a:cubicBezTo>
                                  <a:pt x="222" y="101"/>
                                  <a:pt x="333" y="86"/>
                                  <a:pt x="442" y="69"/>
                                </a:cubicBezTo>
                                <a:cubicBezTo>
                                  <a:pt x="497" y="62"/>
                                  <a:pt x="497" y="62"/>
                                  <a:pt x="497" y="62"/>
                                </a:cubicBezTo>
                                <a:cubicBezTo>
                                  <a:pt x="515" y="60"/>
                                  <a:pt x="534" y="58"/>
                                  <a:pt x="552" y="56"/>
                                </a:cubicBezTo>
                                <a:cubicBezTo>
                                  <a:pt x="552" y="56"/>
                                  <a:pt x="553" y="56"/>
                                  <a:pt x="553" y="56"/>
                                </a:cubicBezTo>
                                <a:cubicBezTo>
                                  <a:pt x="554" y="57"/>
                                  <a:pt x="554" y="57"/>
                                  <a:pt x="554" y="58"/>
                                </a:cubicBezTo>
                                <a:cubicBezTo>
                                  <a:pt x="552" y="76"/>
                                  <a:pt x="550" y="95"/>
                                  <a:pt x="548" y="113"/>
                                </a:cubicBezTo>
                                <a:cubicBezTo>
                                  <a:pt x="542" y="153"/>
                                  <a:pt x="536" y="197"/>
                                  <a:pt x="530" y="238"/>
                                </a:cubicBezTo>
                                <a:moveTo>
                                  <a:pt x="149" y="16"/>
                                </a:moveTo>
                                <a:cubicBezTo>
                                  <a:pt x="196" y="21"/>
                                  <a:pt x="239" y="42"/>
                                  <a:pt x="279" y="68"/>
                                </a:cubicBezTo>
                                <a:cubicBezTo>
                                  <a:pt x="295" y="64"/>
                                  <a:pt x="311" y="62"/>
                                  <a:pt x="327" y="60"/>
                                </a:cubicBezTo>
                                <a:cubicBezTo>
                                  <a:pt x="331" y="60"/>
                                  <a:pt x="335" y="59"/>
                                  <a:pt x="339" y="59"/>
                                </a:cubicBezTo>
                                <a:cubicBezTo>
                                  <a:pt x="322" y="49"/>
                                  <a:pt x="305" y="41"/>
                                  <a:pt x="288" y="33"/>
                                </a:cubicBezTo>
                                <a:cubicBezTo>
                                  <a:pt x="244" y="14"/>
                                  <a:pt x="197" y="0"/>
                                  <a:pt x="149" y="4"/>
                                </a:cubicBezTo>
                                <a:cubicBezTo>
                                  <a:pt x="125" y="6"/>
                                  <a:pt x="101" y="15"/>
                                  <a:pt x="86" y="32"/>
                                </a:cubicBezTo>
                                <a:cubicBezTo>
                                  <a:pt x="86" y="33"/>
                                  <a:pt x="86" y="33"/>
                                  <a:pt x="86" y="33"/>
                                </a:cubicBezTo>
                                <a:cubicBezTo>
                                  <a:pt x="104" y="18"/>
                                  <a:pt x="127" y="14"/>
                                  <a:pt x="149" y="16"/>
                                </a:cubicBezTo>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021C210D" id="Freeform 5" o:spid="_x0000_s1026" alt="&quot;&quot;" style="position:absolute;margin-left:308.8pt;margin-top:-777.85pt;width:133.65pt;height:37.2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214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" path="m920,129v,52,-40,93,-98,93c778,222,778,222,778,222v,98,,98,,98c731,320,731,320,731,320v,-284,,-284,,-284c822,36,822,36,822,36v58,,98,40,98,93m874,129v,-28,-19,-49,-53,-49c778,80,778,80,778,80v,97,,97,,97c821,177,821,177,821,177v34,,53,-21,53,-48m1026,324v-59,,-99,-48,-99,-104c927,163,967,116,1026,116v24,,45,8,59,22c1085,120,1085,120,1085,120v44,,44,,44,c1129,320,1129,320,1129,320v-44,,-44,,-44,c1085,301,1085,301,1085,301v-14,15,-35,23,-59,23m1032,284v25,,43,-12,53,-28c1085,184,1085,184,1085,184v-10,-16,-28,-28,-53,-28c996,156,972,185,972,220v,35,24,64,60,64m1175,320v44,,44,,44,c1219,192,1219,192,1219,192v9,-21,29,-31,47,-31c1273,161,1279,161,1283,163v7,-43,7,-43,7,-43c1285,119,1278,118,1269,118v-22,,-43,13,-50,29c1219,120,1219,120,1219,120v-44,,-44,,-44,l1175,320xm1310,320v44,,44,,44,c1354,223,1354,223,1354,223v96,97,96,97,96,97c1506,320,1506,320,1506,320,1397,209,1397,209,1397,209v89,-89,89,-89,89,-89c1430,120,1430,120,1430,120v-76,76,-76,76,-76,76c1354,28,1354,28,1354,28v-44,,-44,,-44,l1310,320xm1593,116v52,,96,35,96,99c1689,220,1689,223,1689,230v-158,,-158,,-158,c1533,262,1560,284,1593,284v28,,47,-13,57,-30c1684,278,1684,278,1684,278v-18,28,-49,46,-91,46c1532,324,1488,281,1488,220v,-59,44,-104,105,-104m1533,198v112,,112,,112,c1640,169,1617,153,1591,153v-26,,-52,15,-58,45m1784,324v41,,73,-23,73,-62c1857,229,1836,212,1801,201v-21,-6,-21,-6,-21,-6c1761,190,1756,181,1756,171v,-12,14,-18,27,-18c1799,153,1812,161,1821,173v30,-23,30,-23,30,-23c1837,128,1814,116,1784,116v-40,,-72,21,-72,57c1712,203,1730,225,1765,234v17,5,17,5,17,5c1806,246,1813,253,1813,265v,14,-13,21,-29,21c1764,286,1744,276,1736,258v-32,24,-32,24,-32,24c1718,310,1749,324,1784,324m716,539v8,18,32,33,63,33c812,572,835,553,835,523v,-27,-15,-42,-42,-53c769,461,769,461,769,461v-19,-7,-28,-15,-28,-31c741,413,757,402,777,402v17,,28,7,37,18c829,408,829,408,829,408,819,394,801,383,778,383v-32,,-56,18,-56,47c722,455,734,469,762,480v27,10,27,10,27,10c806,496,816,507,816,523v,19,-17,30,-37,30c757,553,742,543,732,527v-16,12,-16,12,-16,12m859,569v18,,18,,18,c877,483,877,483,877,483v5,-17,18,-29,38,-29c936,454,950,467,950,491v,78,,78,,78c968,569,968,569,968,569v,-81,,-81,,-81c968,457,947,438,919,438v-16,,-33,6,-42,20c877,381,877,381,877,381v-18,,-18,,-18,l859,569xm996,393v,-7,6,-13,14,-13c1017,380,1023,386,1023,393v,8,-6,14,-13,14c1002,407,996,401,996,393t4,47c1018,440,1018,440,1018,440v,129,,129,,129c1000,569,1000,569,1000,569r,-129xm1053,569v18,,18,,18,c1071,485,1071,485,1071,485v5,-18,19,-28,33,-28c1107,457,1111,457,1115,458v2,-18,2,-18,2,-18c1114,439,1111,439,1107,439v-16,,-31,10,-36,21c1071,440,1071,440,1071,440v-18,,-18,,-18,l1053,569xm1118,504v,-37,27,-66,66,-66c1218,438,1244,461,1245,503v,4,,4,,4c1136,507,1136,507,1136,507v1,27,20,47,48,47c1205,554,1218,545,1226,530v15,10,15,10,15,10c1230,559,1211,571,1184,571v-40,,-66,-30,-66,-67m1138,491v88,,88,,88,c1223,468,1205,454,1184,454v-22,,-42,14,-46,37m1312,477v,54,42,95,94,95c1440,572,1469,555,1486,529v-17,-10,-17,-10,-17,-10c1456,539,1434,553,1406,553v-42,,-74,-33,-74,-76c1332,435,1364,402,1406,402v28,,50,13,63,34c1486,426,1486,426,1486,426v-17,-26,-46,-43,-80,-43c1354,383,1312,424,1312,477t184,27c1496,468,1524,438,1563,438v39,,67,30,67,66c1630,541,1602,571,1563,571v-39,,-67,-30,-67,-67m1611,504v,-27,-19,-50,-48,-50c1533,454,1514,477,1514,504v,28,19,50,49,50c1592,554,1611,532,1611,504t146,-64c1739,440,1739,440,1739,440v,86,,86,,86c1734,542,1721,554,1703,554v-20,,-33,-13,-33,-36c1670,440,1670,440,1670,440v-18,,-18,,-18,c1652,521,1652,521,1652,521v,31,20,50,47,50c1714,571,1730,565,1739,551v,18,,18,,18c1757,569,1757,569,1757,569r,-129xm1792,569v18,,18,,18,c1810,483,1810,483,1810,483v5,-17,18,-29,38,-29c1869,454,1882,467,1882,491v,78,,78,,78c1900,569,1900,569,1900,569v,-81,,-81,,-81c1900,457,1880,438,1852,438v-17,,-33,6,-42,20c1810,440,1810,440,1810,440v-18,,-18,,-18,l1792,569xm1922,504v,37,28,67,67,67c2016,571,2037,557,2048,537v-16,-9,-16,-9,-16,-9c2025,544,2009,554,1989,554v-29,,-48,-22,-48,-50c1941,477,1960,454,1989,454v20,,36,11,43,26c2048,471,2048,471,2048,471v-11,-20,-32,-33,-59,-33c1950,438,1922,468,1922,504m2064,393v,-7,7,-13,14,-13c2086,380,2092,386,2092,393v,8,-6,14,-14,14c2071,407,2064,401,2064,393t5,47c2087,440,2087,440,2087,440v,129,,129,,129c2069,569,2069,569,2069,569r,-129xm2122,569v18,,18,,18,c2140,381,2140,381,2140,381v-18,,-18,,-18,l2122,569xm530,238v52,69,95,150,95,232c623,533,574,575,512,572,437,569,370,532,311,491,206,416,103,307,58,182,46,235,51,291,71,342v2,5,7,18,9,22c83,369,89,381,92,386v62,103,158,188,287,197c379,583,380,583,379,583,285,594,188,559,118,494,81,455,50,409,30,358,2,286,,204,27,132v11,-32,55,-28,63,5c130,292,302,463,452,516,639,576,585,396,519,299v-8,48,-20,95,-35,141c478,458,472,475,464,493v-1,1,-3,1,-3,-1c461,380,491,271,519,164v15,-54,15,-54,15,-54c539,95,543,80,548,66v-14,18,-29,37,-44,54c492,135,479,150,467,164v7,9,16,17,24,27c485,206,479,222,474,238,462,224,450,210,437,197v-13,13,-26,26,-40,38c376,252,355,268,331,280v-1,1,-2,,-2,-2c368,208,429,156,489,105,507,90,525,76,544,62v-15,4,-30,9,-44,13c468,84,434,94,400,102v9,8,18,16,27,24c422,130,416,134,411,138v-7,5,-13,10,-19,16c377,141,362,128,346,116v-2,1,-5,1,-7,2c285,131,231,141,176,146v-19,1,-37,3,-56,2c118,148,118,146,119,145,222,101,333,86,442,69v55,-7,55,-7,55,-7c515,60,534,58,552,56v,,1,,1,c554,57,554,57,554,58v-2,18,-4,37,-6,55c542,153,536,197,530,238m149,16v47,5,90,26,130,52c295,64,311,62,327,60v4,,8,-1,12,-1c322,49,305,41,288,33,244,14,197,,149,4,125,6,101,15,86,32v,1,,1,,1c104,18,127,14,149,16e" fillcolor="white [3212]" stroked="f">
                  <v:path arrowok="t" o:connecttype="custom" o:connectlocs="579797,254513;651182,63628;813779,257695;895474,95442;818538,225880;818538,225880;1017620,129643;931959,95442;1150077,254513;1073934,155889;1339641,171001;1335676,221108;1304743,157480;1428475,159866;1468133,119303;1437993,210769;567900,428696;587729,342002;572659,342002;580591,419151;725738,361091;728911,348365;789984,312574;793157,349956;835194,452556;885956,349956;835194,452556;901026,403244;886749,400858;1040621,379384;1056485,379384;1040621,379384;1186562,400858;1277775,400858;1324571,411993;1379299,438240;1435613,452556;1506997,452556;1421337,349956;1611694,419947;1624385,374612;1659283,312574;1655318,452556;1697355,303030;406096,454942;72970,307006;21415,104987;368025,392109;399751,95442;314883,186908;396578,59652;274432,92261;350575,54879;434650,89875;268880,46926;118180,12726" o:connectangles="0,0,0,0,0,0,0,0,0,0,0,0,0,0,0,0,0,0,0,0,0,0,0,0,0,0,0,0,0,0,0,0,0,0,0,0,0,0,0,0,0,0,0,0,0,0,0,0,0,0,0,0,0,0,0,0"/>
                  <o:lock v:ext="edit" verticies="t"/>
                  <w10:wrap type="square"/>
                </v:shape>
              </w:pict>
            </mc:Fallback>
          </mc:AlternateContent>
        </w:r>
        <w:r w:rsidR="00AB32E5">
          <w:fldChar w:fldCharType="begin"/>
        </w:r>
        <w:r w:rsidR="00AB32E5">
          <w:instrText xml:space="preserve"> PAGE   \* MERGEFORMAT </w:instrText>
        </w:r>
        <w:r w:rsidR="00AB32E5">
          <w:fldChar w:fldCharType="separate"/>
        </w:r>
        <w:r w:rsidR="00AB32E5">
          <w:rPr>
            <w:noProof/>
          </w:rPr>
          <w:t>2</w:t>
        </w:r>
        <w:r w:rsidR="00AB32E5">
          <w:rPr>
            <w:noProof/>
          </w:rPr>
          <w:fldChar w:fldCharType="end"/>
        </w:r>
      </w:p>
    </w:sdtContent>
  </w:sdt>
  <w:p w14:paraId="7AF37E26" w14:textId="05231733" w:rsidR="00DE2E35" w:rsidRPr="00DE2E35" w:rsidRDefault="00F13B1B" w:rsidP="002167CE">
    <w:pPr>
      <w:pStyle w:val="Footer"/>
      <w:jc w:val="right"/>
      <w:rPr>
        <w:rFonts w:ascii="Arial" w:hAnsi="Arial" w:cs="Arial"/>
      </w:rPr>
    </w:pPr>
    <w:r w:rsidRPr="00F13B1B">
      <w:rPr>
        <w:rFonts w:ascii="Arial" w:hAnsi="Arial" w:cs="Arial"/>
      </w:rPr>
      <w:t>[9057268:42149854_1]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A0871" w14:textId="723A0AF7" w:rsidR="0099340B" w:rsidRDefault="0099340B">
    <w:pPr>
      <w:pStyle w:val="Footer"/>
    </w:pPr>
  </w:p>
  <w:p w14:paraId="37C38D22" w14:textId="7C633632" w:rsidR="00DE2E35" w:rsidRPr="00DE2E35" w:rsidRDefault="00F13B1B">
    <w:pPr>
      <w:pStyle w:val="Footer"/>
      <w:rPr>
        <w:rFonts w:ascii="Arial" w:hAnsi="Arial" w:cs="Arial"/>
      </w:rPr>
    </w:pPr>
    <w:r w:rsidRPr="00F13B1B">
      <w:rPr>
        <w:rFonts w:ascii="Arial" w:hAnsi="Arial" w:cs="Arial"/>
      </w:rPr>
      <w:t>[9057268:42149854_1]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EAA40" w14:textId="77777777" w:rsidR="001D0EA5" w:rsidRPr="000D4EDE" w:rsidRDefault="001D0EA5" w:rsidP="000D4EDE">
      <w:r>
        <w:separator/>
      </w:r>
    </w:p>
  </w:footnote>
  <w:footnote w:type="continuationSeparator" w:id="0">
    <w:p w14:paraId="0995F59F" w14:textId="77777777" w:rsidR="001D0EA5" w:rsidRPr="000D4EDE" w:rsidRDefault="001D0EA5" w:rsidP="000D4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35C14" w14:textId="77777777" w:rsidR="00AB32E5" w:rsidRDefault="003F5DE7">
    <w:pPr>
      <w:pStyle w:val="Header"/>
    </w:pPr>
    <w:r>
      <w:rPr>
        <w:noProof/>
      </w:rPr>
      <w:pict w14:anchorId="2CE64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0;margin-top:0;width:374.6pt;height:224.75pt;rotation:315;z-index:-251656704;mso-position-horizontal:center;mso-position-horizontal-relative:margin;mso-position-vertical:center;mso-position-vertical-relative:margin" o:allowincell="f" fillcolor="silver" stroked="f">
          <v:fill opacity=".5"/>
          <v:textpath style="font-family:&quot;Leelawadee UI Semi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649D8" w14:textId="4114A0E7" w:rsidR="00AB32E5" w:rsidRPr="005B6EBC" w:rsidRDefault="005B6EBC" w:rsidP="005B6EBC">
    <w:pPr>
      <w:pStyle w:val="Header"/>
      <w:rPr>
        <w:color w:val="FFFFFF" w:themeColor="background1"/>
      </w:rPr>
    </w:pPr>
    <w:r>
      <w:rPr>
        <w:color w:val="FFFFFF" w:themeColor="background1"/>
      </w:rPr>
      <w:t xml:space="preserve">Section 94A Contributions Plan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0086E" w14:textId="6612698B" w:rsidR="00AB32E5" w:rsidRDefault="003F314C">
    <w:pPr>
      <w:pStyle w:val="Header"/>
    </w:pPr>
    <w:r w:rsidRPr="00C72EC4">
      <w:rPr>
        <w:noProof/>
      </w:rPr>
      <mc:AlternateContent>
        <mc:Choice Requires="wps">
          <w:drawing>
            <wp:anchor distT="0" distB="0" distL="114300" distR="114300" simplePos="0" relativeHeight="251658752" behindDoc="0" locked="1" layoutInCell="1" allowOverlap="1" wp14:anchorId="1E69F867" wp14:editId="254AA567">
              <wp:simplePos x="0" y="0"/>
              <wp:positionH relativeFrom="page">
                <wp:posOffset>5295900</wp:posOffset>
              </wp:positionH>
              <wp:positionV relativeFrom="page">
                <wp:posOffset>142875</wp:posOffset>
              </wp:positionV>
              <wp:extent cx="1697355" cy="472440"/>
              <wp:effectExtent l="0" t="0" r="0" b="3810"/>
              <wp:wrapNone/>
              <wp:docPr id="376219011"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97355" cy="472440"/>
                      </a:xfrm>
                      <a:custGeom>
                        <a:avLst/>
                        <a:gdLst>
                          <a:gd name="T0" fmla="*/ 731 w 2140"/>
                          <a:gd name="T1" fmla="*/ 320 h 594"/>
                          <a:gd name="T2" fmla="*/ 821 w 2140"/>
                          <a:gd name="T3" fmla="*/ 80 h 594"/>
                          <a:gd name="T4" fmla="*/ 1026 w 2140"/>
                          <a:gd name="T5" fmla="*/ 324 h 594"/>
                          <a:gd name="T6" fmla="*/ 1129 w 2140"/>
                          <a:gd name="T7" fmla="*/ 120 h 594"/>
                          <a:gd name="T8" fmla="*/ 1032 w 2140"/>
                          <a:gd name="T9" fmla="*/ 284 h 594"/>
                          <a:gd name="T10" fmla="*/ 1032 w 2140"/>
                          <a:gd name="T11" fmla="*/ 284 h 594"/>
                          <a:gd name="T12" fmla="*/ 1283 w 2140"/>
                          <a:gd name="T13" fmla="*/ 163 h 594"/>
                          <a:gd name="T14" fmla="*/ 1175 w 2140"/>
                          <a:gd name="T15" fmla="*/ 120 h 594"/>
                          <a:gd name="T16" fmla="*/ 1450 w 2140"/>
                          <a:gd name="T17" fmla="*/ 320 h 594"/>
                          <a:gd name="T18" fmla="*/ 1354 w 2140"/>
                          <a:gd name="T19" fmla="*/ 196 h 594"/>
                          <a:gd name="T20" fmla="*/ 1689 w 2140"/>
                          <a:gd name="T21" fmla="*/ 215 h 594"/>
                          <a:gd name="T22" fmla="*/ 1684 w 2140"/>
                          <a:gd name="T23" fmla="*/ 278 h 594"/>
                          <a:gd name="T24" fmla="*/ 1645 w 2140"/>
                          <a:gd name="T25" fmla="*/ 198 h 594"/>
                          <a:gd name="T26" fmla="*/ 1801 w 2140"/>
                          <a:gd name="T27" fmla="*/ 201 h 594"/>
                          <a:gd name="T28" fmla="*/ 1851 w 2140"/>
                          <a:gd name="T29" fmla="*/ 150 h 594"/>
                          <a:gd name="T30" fmla="*/ 1813 w 2140"/>
                          <a:gd name="T31" fmla="*/ 265 h 594"/>
                          <a:gd name="T32" fmla="*/ 716 w 2140"/>
                          <a:gd name="T33" fmla="*/ 539 h 594"/>
                          <a:gd name="T34" fmla="*/ 741 w 2140"/>
                          <a:gd name="T35" fmla="*/ 430 h 594"/>
                          <a:gd name="T36" fmla="*/ 722 w 2140"/>
                          <a:gd name="T37" fmla="*/ 430 h 594"/>
                          <a:gd name="T38" fmla="*/ 732 w 2140"/>
                          <a:gd name="T39" fmla="*/ 527 h 594"/>
                          <a:gd name="T40" fmla="*/ 915 w 2140"/>
                          <a:gd name="T41" fmla="*/ 454 h 594"/>
                          <a:gd name="T42" fmla="*/ 919 w 2140"/>
                          <a:gd name="T43" fmla="*/ 438 h 594"/>
                          <a:gd name="T44" fmla="*/ 996 w 2140"/>
                          <a:gd name="T45" fmla="*/ 393 h 594"/>
                          <a:gd name="T46" fmla="*/ 1000 w 2140"/>
                          <a:gd name="T47" fmla="*/ 440 h 594"/>
                          <a:gd name="T48" fmla="*/ 1053 w 2140"/>
                          <a:gd name="T49" fmla="*/ 569 h 594"/>
                          <a:gd name="T50" fmla="*/ 1117 w 2140"/>
                          <a:gd name="T51" fmla="*/ 440 h 594"/>
                          <a:gd name="T52" fmla="*/ 1053 w 2140"/>
                          <a:gd name="T53" fmla="*/ 569 h 594"/>
                          <a:gd name="T54" fmla="*/ 1136 w 2140"/>
                          <a:gd name="T55" fmla="*/ 507 h 594"/>
                          <a:gd name="T56" fmla="*/ 1118 w 2140"/>
                          <a:gd name="T57" fmla="*/ 504 h 594"/>
                          <a:gd name="T58" fmla="*/ 1312 w 2140"/>
                          <a:gd name="T59" fmla="*/ 477 h 594"/>
                          <a:gd name="T60" fmla="*/ 1332 w 2140"/>
                          <a:gd name="T61" fmla="*/ 477 h 594"/>
                          <a:gd name="T62" fmla="*/ 1312 w 2140"/>
                          <a:gd name="T63" fmla="*/ 477 h 594"/>
                          <a:gd name="T64" fmla="*/ 1496 w 2140"/>
                          <a:gd name="T65" fmla="*/ 504 h 594"/>
                          <a:gd name="T66" fmla="*/ 1611 w 2140"/>
                          <a:gd name="T67" fmla="*/ 504 h 594"/>
                          <a:gd name="T68" fmla="*/ 1670 w 2140"/>
                          <a:gd name="T69" fmla="*/ 518 h 594"/>
                          <a:gd name="T70" fmla="*/ 1739 w 2140"/>
                          <a:gd name="T71" fmla="*/ 551 h 594"/>
                          <a:gd name="T72" fmla="*/ 1810 w 2140"/>
                          <a:gd name="T73" fmla="*/ 569 h 594"/>
                          <a:gd name="T74" fmla="*/ 1900 w 2140"/>
                          <a:gd name="T75" fmla="*/ 569 h 594"/>
                          <a:gd name="T76" fmla="*/ 1792 w 2140"/>
                          <a:gd name="T77" fmla="*/ 440 h 594"/>
                          <a:gd name="T78" fmla="*/ 2032 w 2140"/>
                          <a:gd name="T79" fmla="*/ 528 h 594"/>
                          <a:gd name="T80" fmla="*/ 2048 w 2140"/>
                          <a:gd name="T81" fmla="*/ 471 h 594"/>
                          <a:gd name="T82" fmla="*/ 2092 w 2140"/>
                          <a:gd name="T83" fmla="*/ 393 h 594"/>
                          <a:gd name="T84" fmla="*/ 2087 w 2140"/>
                          <a:gd name="T85" fmla="*/ 569 h 594"/>
                          <a:gd name="T86" fmla="*/ 2140 w 2140"/>
                          <a:gd name="T87" fmla="*/ 381 h 594"/>
                          <a:gd name="T88" fmla="*/ 512 w 2140"/>
                          <a:gd name="T89" fmla="*/ 572 h 594"/>
                          <a:gd name="T90" fmla="*/ 92 w 2140"/>
                          <a:gd name="T91" fmla="*/ 386 h 594"/>
                          <a:gd name="T92" fmla="*/ 27 w 2140"/>
                          <a:gd name="T93" fmla="*/ 132 h 594"/>
                          <a:gd name="T94" fmla="*/ 464 w 2140"/>
                          <a:gd name="T95" fmla="*/ 493 h 594"/>
                          <a:gd name="T96" fmla="*/ 504 w 2140"/>
                          <a:gd name="T97" fmla="*/ 120 h 594"/>
                          <a:gd name="T98" fmla="*/ 397 w 2140"/>
                          <a:gd name="T99" fmla="*/ 235 h 594"/>
                          <a:gd name="T100" fmla="*/ 500 w 2140"/>
                          <a:gd name="T101" fmla="*/ 75 h 594"/>
                          <a:gd name="T102" fmla="*/ 346 w 2140"/>
                          <a:gd name="T103" fmla="*/ 116 h 594"/>
                          <a:gd name="T104" fmla="*/ 442 w 2140"/>
                          <a:gd name="T105" fmla="*/ 69 h 594"/>
                          <a:gd name="T106" fmla="*/ 548 w 2140"/>
                          <a:gd name="T107" fmla="*/ 113 h 594"/>
                          <a:gd name="T108" fmla="*/ 339 w 2140"/>
                          <a:gd name="T109" fmla="*/ 59 h 594"/>
                          <a:gd name="T110" fmla="*/ 149 w 2140"/>
                          <a:gd name="T111" fmla="*/ 16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40" h="594">
                            <a:moveTo>
                              <a:pt x="920" y="129"/>
                            </a:moveTo>
                            <a:cubicBezTo>
                              <a:pt x="920" y="181"/>
                              <a:pt x="880" y="222"/>
                              <a:pt x="822" y="222"/>
                            </a:cubicBezTo>
                            <a:cubicBezTo>
                              <a:pt x="778" y="222"/>
                              <a:pt x="778" y="222"/>
                              <a:pt x="778" y="222"/>
                            </a:cubicBezTo>
                            <a:cubicBezTo>
                              <a:pt x="778" y="320"/>
                              <a:pt x="778" y="320"/>
                              <a:pt x="778" y="320"/>
                            </a:cubicBezTo>
                            <a:cubicBezTo>
                              <a:pt x="731" y="320"/>
                              <a:pt x="731" y="320"/>
                              <a:pt x="731" y="320"/>
                            </a:cubicBezTo>
                            <a:cubicBezTo>
                              <a:pt x="731" y="36"/>
                              <a:pt x="731" y="36"/>
                              <a:pt x="731" y="36"/>
                            </a:cubicBezTo>
                            <a:cubicBezTo>
                              <a:pt x="822" y="36"/>
                              <a:pt x="822" y="36"/>
                              <a:pt x="822" y="36"/>
                            </a:cubicBezTo>
                            <a:cubicBezTo>
                              <a:pt x="880" y="36"/>
                              <a:pt x="920" y="76"/>
                              <a:pt x="920" y="129"/>
                            </a:cubicBezTo>
                            <a:moveTo>
                              <a:pt x="874" y="129"/>
                            </a:moveTo>
                            <a:cubicBezTo>
                              <a:pt x="874" y="101"/>
                              <a:pt x="855" y="80"/>
                              <a:pt x="821" y="80"/>
                            </a:cubicBezTo>
                            <a:cubicBezTo>
                              <a:pt x="778" y="80"/>
                              <a:pt x="778" y="80"/>
                              <a:pt x="778" y="80"/>
                            </a:cubicBezTo>
                            <a:cubicBezTo>
                              <a:pt x="778" y="177"/>
                              <a:pt x="778" y="177"/>
                              <a:pt x="778" y="177"/>
                            </a:cubicBezTo>
                            <a:cubicBezTo>
                              <a:pt x="821" y="177"/>
                              <a:pt x="821" y="177"/>
                              <a:pt x="821" y="177"/>
                            </a:cubicBezTo>
                            <a:cubicBezTo>
                              <a:pt x="855" y="177"/>
                              <a:pt x="874" y="156"/>
                              <a:pt x="874" y="129"/>
                            </a:cubicBezTo>
                            <a:moveTo>
                              <a:pt x="1026" y="324"/>
                            </a:moveTo>
                            <a:cubicBezTo>
                              <a:pt x="967" y="324"/>
                              <a:pt x="927" y="276"/>
                              <a:pt x="927" y="220"/>
                            </a:cubicBezTo>
                            <a:cubicBezTo>
                              <a:pt x="927" y="163"/>
                              <a:pt x="967" y="116"/>
                              <a:pt x="1026" y="116"/>
                            </a:cubicBezTo>
                            <a:cubicBezTo>
                              <a:pt x="1050" y="116"/>
                              <a:pt x="1071" y="124"/>
                              <a:pt x="1085" y="138"/>
                            </a:cubicBezTo>
                            <a:cubicBezTo>
                              <a:pt x="1085" y="120"/>
                              <a:pt x="1085" y="120"/>
                              <a:pt x="1085" y="120"/>
                            </a:cubicBezTo>
                            <a:cubicBezTo>
                              <a:pt x="1129" y="120"/>
                              <a:pt x="1129" y="120"/>
                              <a:pt x="1129" y="120"/>
                            </a:cubicBezTo>
                            <a:cubicBezTo>
                              <a:pt x="1129" y="320"/>
                              <a:pt x="1129" y="320"/>
                              <a:pt x="1129" y="320"/>
                            </a:cubicBezTo>
                            <a:cubicBezTo>
                              <a:pt x="1085" y="320"/>
                              <a:pt x="1085" y="320"/>
                              <a:pt x="1085" y="320"/>
                            </a:cubicBezTo>
                            <a:cubicBezTo>
                              <a:pt x="1085" y="301"/>
                              <a:pt x="1085" y="301"/>
                              <a:pt x="1085" y="301"/>
                            </a:cubicBezTo>
                            <a:cubicBezTo>
                              <a:pt x="1071" y="316"/>
                              <a:pt x="1050" y="324"/>
                              <a:pt x="1026" y="324"/>
                            </a:cubicBezTo>
                            <a:moveTo>
                              <a:pt x="1032" y="284"/>
                            </a:moveTo>
                            <a:cubicBezTo>
                              <a:pt x="1057" y="284"/>
                              <a:pt x="1075" y="272"/>
                              <a:pt x="1085" y="256"/>
                            </a:cubicBezTo>
                            <a:cubicBezTo>
                              <a:pt x="1085" y="184"/>
                              <a:pt x="1085" y="184"/>
                              <a:pt x="1085" y="184"/>
                            </a:cubicBezTo>
                            <a:cubicBezTo>
                              <a:pt x="1075" y="168"/>
                              <a:pt x="1057" y="156"/>
                              <a:pt x="1032" y="156"/>
                            </a:cubicBezTo>
                            <a:cubicBezTo>
                              <a:pt x="996" y="156"/>
                              <a:pt x="972" y="185"/>
                              <a:pt x="972" y="220"/>
                            </a:cubicBezTo>
                            <a:cubicBezTo>
                              <a:pt x="972" y="255"/>
                              <a:pt x="996" y="284"/>
                              <a:pt x="1032" y="284"/>
                            </a:cubicBezTo>
                            <a:moveTo>
                              <a:pt x="1175" y="320"/>
                            </a:moveTo>
                            <a:cubicBezTo>
                              <a:pt x="1219" y="320"/>
                              <a:pt x="1219" y="320"/>
                              <a:pt x="1219" y="320"/>
                            </a:cubicBezTo>
                            <a:cubicBezTo>
                              <a:pt x="1219" y="192"/>
                              <a:pt x="1219" y="192"/>
                              <a:pt x="1219" y="192"/>
                            </a:cubicBezTo>
                            <a:cubicBezTo>
                              <a:pt x="1228" y="171"/>
                              <a:pt x="1248" y="161"/>
                              <a:pt x="1266" y="161"/>
                            </a:cubicBezTo>
                            <a:cubicBezTo>
                              <a:pt x="1273" y="161"/>
                              <a:pt x="1279" y="161"/>
                              <a:pt x="1283" y="163"/>
                            </a:cubicBezTo>
                            <a:cubicBezTo>
                              <a:pt x="1290" y="120"/>
                              <a:pt x="1290" y="120"/>
                              <a:pt x="1290" y="120"/>
                            </a:cubicBezTo>
                            <a:cubicBezTo>
                              <a:pt x="1285" y="119"/>
                              <a:pt x="1278" y="118"/>
                              <a:pt x="1269" y="118"/>
                            </a:cubicBezTo>
                            <a:cubicBezTo>
                              <a:pt x="1247" y="118"/>
                              <a:pt x="1226" y="131"/>
                              <a:pt x="1219" y="147"/>
                            </a:cubicBezTo>
                            <a:cubicBezTo>
                              <a:pt x="1219" y="120"/>
                              <a:pt x="1219" y="120"/>
                              <a:pt x="1219" y="120"/>
                            </a:cubicBezTo>
                            <a:cubicBezTo>
                              <a:pt x="1175" y="120"/>
                              <a:pt x="1175" y="120"/>
                              <a:pt x="1175" y="120"/>
                            </a:cubicBezTo>
                            <a:lnTo>
                              <a:pt x="1175" y="320"/>
                            </a:lnTo>
                            <a:close/>
                            <a:moveTo>
                              <a:pt x="1310" y="320"/>
                            </a:moveTo>
                            <a:cubicBezTo>
                              <a:pt x="1354" y="320"/>
                              <a:pt x="1354" y="320"/>
                              <a:pt x="1354" y="320"/>
                            </a:cubicBezTo>
                            <a:cubicBezTo>
                              <a:pt x="1354" y="223"/>
                              <a:pt x="1354" y="223"/>
                              <a:pt x="1354" y="223"/>
                            </a:cubicBezTo>
                            <a:cubicBezTo>
                              <a:pt x="1450" y="320"/>
                              <a:pt x="1450" y="320"/>
                              <a:pt x="1450" y="320"/>
                            </a:cubicBezTo>
                            <a:cubicBezTo>
                              <a:pt x="1506" y="320"/>
                              <a:pt x="1506" y="320"/>
                              <a:pt x="1506" y="320"/>
                            </a:cubicBezTo>
                            <a:cubicBezTo>
                              <a:pt x="1397" y="209"/>
                              <a:pt x="1397" y="209"/>
                              <a:pt x="1397" y="209"/>
                            </a:cubicBezTo>
                            <a:cubicBezTo>
                              <a:pt x="1486" y="120"/>
                              <a:pt x="1486" y="120"/>
                              <a:pt x="1486" y="120"/>
                            </a:cubicBezTo>
                            <a:cubicBezTo>
                              <a:pt x="1430" y="120"/>
                              <a:pt x="1430" y="120"/>
                              <a:pt x="1430" y="120"/>
                            </a:cubicBezTo>
                            <a:cubicBezTo>
                              <a:pt x="1354" y="196"/>
                              <a:pt x="1354" y="196"/>
                              <a:pt x="1354" y="196"/>
                            </a:cubicBezTo>
                            <a:cubicBezTo>
                              <a:pt x="1354" y="28"/>
                              <a:pt x="1354" y="28"/>
                              <a:pt x="1354" y="28"/>
                            </a:cubicBezTo>
                            <a:cubicBezTo>
                              <a:pt x="1310" y="28"/>
                              <a:pt x="1310" y="28"/>
                              <a:pt x="1310" y="28"/>
                            </a:cubicBezTo>
                            <a:lnTo>
                              <a:pt x="1310" y="320"/>
                            </a:lnTo>
                            <a:close/>
                            <a:moveTo>
                              <a:pt x="1593" y="116"/>
                            </a:moveTo>
                            <a:cubicBezTo>
                              <a:pt x="1645" y="116"/>
                              <a:pt x="1689" y="151"/>
                              <a:pt x="1689" y="215"/>
                            </a:cubicBezTo>
                            <a:cubicBezTo>
                              <a:pt x="1689" y="220"/>
                              <a:pt x="1689" y="223"/>
                              <a:pt x="1689" y="230"/>
                            </a:cubicBezTo>
                            <a:cubicBezTo>
                              <a:pt x="1531" y="230"/>
                              <a:pt x="1531" y="230"/>
                              <a:pt x="1531" y="230"/>
                            </a:cubicBezTo>
                            <a:cubicBezTo>
                              <a:pt x="1533" y="262"/>
                              <a:pt x="1560" y="284"/>
                              <a:pt x="1593" y="284"/>
                            </a:cubicBezTo>
                            <a:cubicBezTo>
                              <a:pt x="1621" y="284"/>
                              <a:pt x="1640" y="271"/>
                              <a:pt x="1650" y="254"/>
                            </a:cubicBezTo>
                            <a:cubicBezTo>
                              <a:pt x="1684" y="278"/>
                              <a:pt x="1684" y="278"/>
                              <a:pt x="1684" y="278"/>
                            </a:cubicBezTo>
                            <a:cubicBezTo>
                              <a:pt x="1666" y="306"/>
                              <a:pt x="1635" y="324"/>
                              <a:pt x="1593" y="324"/>
                            </a:cubicBezTo>
                            <a:cubicBezTo>
                              <a:pt x="1532" y="324"/>
                              <a:pt x="1488" y="281"/>
                              <a:pt x="1488" y="220"/>
                            </a:cubicBezTo>
                            <a:cubicBezTo>
                              <a:pt x="1488" y="161"/>
                              <a:pt x="1532" y="116"/>
                              <a:pt x="1593" y="116"/>
                            </a:cubicBezTo>
                            <a:moveTo>
                              <a:pt x="1533" y="198"/>
                            </a:moveTo>
                            <a:cubicBezTo>
                              <a:pt x="1645" y="198"/>
                              <a:pt x="1645" y="198"/>
                              <a:pt x="1645" y="198"/>
                            </a:cubicBezTo>
                            <a:cubicBezTo>
                              <a:pt x="1640" y="169"/>
                              <a:pt x="1617" y="153"/>
                              <a:pt x="1591" y="153"/>
                            </a:cubicBezTo>
                            <a:cubicBezTo>
                              <a:pt x="1565" y="153"/>
                              <a:pt x="1539" y="168"/>
                              <a:pt x="1533" y="198"/>
                            </a:cubicBezTo>
                            <a:moveTo>
                              <a:pt x="1784" y="324"/>
                            </a:moveTo>
                            <a:cubicBezTo>
                              <a:pt x="1825" y="324"/>
                              <a:pt x="1857" y="301"/>
                              <a:pt x="1857" y="262"/>
                            </a:cubicBezTo>
                            <a:cubicBezTo>
                              <a:pt x="1857" y="229"/>
                              <a:pt x="1836" y="212"/>
                              <a:pt x="1801" y="201"/>
                            </a:cubicBezTo>
                            <a:cubicBezTo>
                              <a:pt x="1780" y="195"/>
                              <a:pt x="1780" y="195"/>
                              <a:pt x="1780" y="195"/>
                            </a:cubicBezTo>
                            <a:cubicBezTo>
                              <a:pt x="1761" y="190"/>
                              <a:pt x="1756" y="181"/>
                              <a:pt x="1756" y="171"/>
                            </a:cubicBezTo>
                            <a:cubicBezTo>
                              <a:pt x="1756" y="159"/>
                              <a:pt x="1770" y="153"/>
                              <a:pt x="1783" y="153"/>
                            </a:cubicBezTo>
                            <a:cubicBezTo>
                              <a:pt x="1799" y="153"/>
                              <a:pt x="1812" y="161"/>
                              <a:pt x="1821" y="173"/>
                            </a:cubicBezTo>
                            <a:cubicBezTo>
                              <a:pt x="1851" y="150"/>
                              <a:pt x="1851" y="150"/>
                              <a:pt x="1851" y="150"/>
                            </a:cubicBezTo>
                            <a:cubicBezTo>
                              <a:pt x="1837" y="128"/>
                              <a:pt x="1814" y="116"/>
                              <a:pt x="1784" y="116"/>
                            </a:cubicBezTo>
                            <a:cubicBezTo>
                              <a:pt x="1744" y="116"/>
                              <a:pt x="1712" y="137"/>
                              <a:pt x="1712" y="173"/>
                            </a:cubicBezTo>
                            <a:cubicBezTo>
                              <a:pt x="1712" y="203"/>
                              <a:pt x="1730" y="225"/>
                              <a:pt x="1765" y="234"/>
                            </a:cubicBezTo>
                            <a:cubicBezTo>
                              <a:pt x="1782" y="239"/>
                              <a:pt x="1782" y="239"/>
                              <a:pt x="1782" y="239"/>
                            </a:cubicBezTo>
                            <a:cubicBezTo>
                              <a:pt x="1806" y="246"/>
                              <a:pt x="1813" y="253"/>
                              <a:pt x="1813" y="265"/>
                            </a:cubicBezTo>
                            <a:cubicBezTo>
                              <a:pt x="1813" y="279"/>
                              <a:pt x="1800" y="286"/>
                              <a:pt x="1784" y="286"/>
                            </a:cubicBezTo>
                            <a:cubicBezTo>
                              <a:pt x="1764" y="286"/>
                              <a:pt x="1744" y="276"/>
                              <a:pt x="1736" y="258"/>
                            </a:cubicBezTo>
                            <a:cubicBezTo>
                              <a:pt x="1704" y="282"/>
                              <a:pt x="1704" y="282"/>
                              <a:pt x="1704" y="282"/>
                            </a:cubicBezTo>
                            <a:cubicBezTo>
                              <a:pt x="1718" y="310"/>
                              <a:pt x="1749" y="324"/>
                              <a:pt x="1784" y="324"/>
                            </a:cubicBezTo>
                            <a:moveTo>
                              <a:pt x="716" y="539"/>
                            </a:moveTo>
                            <a:cubicBezTo>
                              <a:pt x="724" y="557"/>
                              <a:pt x="748" y="572"/>
                              <a:pt x="779" y="572"/>
                            </a:cubicBezTo>
                            <a:cubicBezTo>
                              <a:pt x="812" y="572"/>
                              <a:pt x="835" y="553"/>
                              <a:pt x="835" y="523"/>
                            </a:cubicBezTo>
                            <a:cubicBezTo>
                              <a:pt x="835" y="496"/>
                              <a:pt x="820" y="481"/>
                              <a:pt x="793" y="470"/>
                            </a:cubicBezTo>
                            <a:cubicBezTo>
                              <a:pt x="769" y="461"/>
                              <a:pt x="769" y="461"/>
                              <a:pt x="769" y="461"/>
                            </a:cubicBezTo>
                            <a:cubicBezTo>
                              <a:pt x="750" y="454"/>
                              <a:pt x="741" y="446"/>
                              <a:pt x="741" y="430"/>
                            </a:cubicBezTo>
                            <a:cubicBezTo>
                              <a:pt x="741" y="413"/>
                              <a:pt x="757" y="402"/>
                              <a:pt x="777" y="402"/>
                            </a:cubicBezTo>
                            <a:cubicBezTo>
                              <a:pt x="794" y="402"/>
                              <a:pt x="805" y="409"/>
                              <a:pt x="814" y="420"/>
                            </a:cubicBezTo>
                            <a:cubicBezTo>
                              <a:pt x="829" y="408"/>
                              <a:pt x="829" y="408"/>
                              <a:pt x="829" y="408"/>
                            </a:cubicBezTo>
                            <a:cubicBezTo>
                              <a:pt x="819" y="394"/>
                              <a:pt x="801" y="383"/>
                              <a:pt x="778" y="383"/>
                            </a:cubicBezTo>
                            <a:cubicBezTo>
                              <a:pt x="746" y="383"/>
                              <a:pt x="722" y="401"/>
                              <a:pt x="722" y="430"/>
                            </a:cubicBezTo>
                            <a:cubicBezTo>
                              <a:pt x="722" y="455"/>
                              <a:pt x="734" y="469"/>
                              <a:pt x="762" y="480"/>
                            </a:cubicBezTo>
                            <a:cubicBezTo>
                              <a:pt x="789" y="490"/>
                              <a:pt x="789" y="490"/>
                              <a:pt x="789" y="490"/>
                            </a:cubicBezTo>
                            <a:cubicBezTo>
                              <a:pt x="806" y="496"/>
                              <a:pt x="816" y="507"/>
                              <a:pt x="816" y="523"/>
                            </a:cubicBezTo>
                            <a:cubicBezTo>
                              <a:pt x="816" y="542"/>
                              <a:pt x="799" y="553"/>
                              <a:pt x="779" y="553"/>
                            </a:cubicBezTo>
                            <a:cubicBezTo>
                              <a:pt x="757" y="553"/>
                              <a:pt x="742" y="543"/>
                              <a:pt x="732" y="527"/>
                            </a:cubicBezTo>
                            <a:cubicBezTo>
                              <a:pt x="716" y="539"/>
                              <a:pt x="716" y="539"/>
                              <a:pt x="716" y="539"/>
                            </a:cubicBezTo>
                            <a:moveTo>
                              <a:pt x="859" y="569"/>
                            </a:moveTo>
                            <a:cubicBezTo>
                              <a:pt x="877" y="569"/>
                              <a:pt x="877" y="569"/>
                              <a:pt x="877" y="569"/>
                            </a:cubicBezTo>
                            <a:cubicBezTo>
                              <a:pt x="877" y="483"/>
                              <a:pt x="877" y="483"/>
                              <a:pt x="877" y="483"/>
                            </a:cubicBezTo>
                            <a:cubicBezTo>
                              <a:pt x="882" y="466"/>
                              <a:pt x="895" y="454"/>
                              <a:pt x="915" y="454"/>
                            </a:cubicBezTo>
                            <a:cubicBezTo>
                              <a:pt x="936" y="454"/>
                              <a:pt x="950" y="467"/>
                              <a:pt x="950" y="491"/>
                            </a:cubicBezTo>
                            <a:cubicBezTo>
                              <a:pt x="950" y="569"/>
                              <a:pt x="950" y="569"/>
                              <a:pt x="950" y="569"/>
                            </a:cubicBezTo>
                            <a:cubicBezTo>
                              <a:pt x="968" y="569"/>
                              <a:pt x="968" y="569"/>
                              <a:pt x="968" y="569"/>
                            </a:cubicBezTo>
                            <a:cubicBezTo>
                              <a:pt x="968" y="488"/>
                              <a:pt x="968" y="488"/>
                              <a:pt x="968" y="488"/>
                            </a:cubicBezTo>
                            <a:cubicBezTo>
                              <a:pt x="968" y="457"/>
                              <a:pt x="947" y="438"/>
                              <a:pt x="919" y="438"/>
                            </a:cubicBezTo>
                            <a:cubicBezTo>
                              <a:pt x="903" y="438"/>
                              <a:pt x="886" y="444"/>
                              <a:pt x="877" y="458"/>
                            </a:cubicBezTo>
                            <a:cubicBezTo>
                              <a:pt x="877" y="381"/>
                              <a:pt x="877" y="381"/>
                              <a:pt x="877" y="381"/>
                            </a:cubicBezTo>
                            <a:cubicBezTo>
                              <a:pt x="859" y="381"/>
                              <a:pt x="859" y="381"/>
                              <a:pt x="859" y="381"/>
                            </a:cubicBezTo>
                            <a:lnTo>
                              <a:pt x="859" y="569"/>
                            </a:lnTo>
                            <a:close/>
                            <a:moveTo>
                              <a:pt x="996" y="393"/>
                            </a:moveTo>
                            <a:cubicBezTo>
                              <a:pt x="996" y="386"/>
                              <a:pt x="1002" y="380"/>
                              <a:pt x="1010" y="380"/>
                            </a:cubicBezTo>
                            <a:cubicBezTo>
                              <a:pt x="1017" y="380"/>
                              <a:pt x="1023" y="386"/>
                              <a:pt x="1023" y="393"/>
                            </a:cubicBezTo>
                            <a:cubicBezTo>
                              <a:pt x="1023" y="401"/>
                              <a:pt x="1017" y="407"/>
                              <a:pt x="1010" y="407"/>
                            </a:cubicBezTo>
                            <a:cubicBezTo>
                              <a:pt x="1002" y="407"/>
                              <a:pt x="996" y="401"/>
                              <a:pt x="996" y="393"/>
                            </a:cubicBezTo>
                            <a:moveTo>
                              <a:pt x="1000" y="440"/>
                            </a:moveTo>
                            <a:cubicBezTo>
                              <a:pt x="1018" y="440"/>
                              <a:pt x="1018" y="440"/>
                              <a:pt x="1018" y="440"/>
                            </a:cubicBezTo>
                            <a:cubicBezTo>
                              <a:pt x="1018" y="569"/>
                              <a:pt x="1018" y="569"/>
                              <a:pt x="1018" y="569"/>
                            </a:cubicBezTo>
                            <a:cubicBezTo>
                              <a:pt x="1000" y="569"/>
                              <a:pt x="1000" y="569"/>
                              <a:pt x="1000" y="569"/>
                            </a:cubicBezTo>
                            <a:lnTo>
                              <a:pt x="1000" y="440"/>
                            </a:lnTo>
                            <a:close/>
                            <a:moveTo>
                              <a:pt x="1053" y="569"/>
                            </a:moveTo>
                            <a:cubicBezTo>
                              <a:pt x="1071" y="569"/>
                              <a:pt x="1071" y="569"/>
                              <a:pt x="1071" y="569"/>
                            </a:cubicBezTo>
                            <a:cubicBezTo>
                              <a:pt x="1071" y="485"/>
                              <a:pt x="1071" y="485"/>
                              <a:pt x="1071" y="485"/>
                            </a:cubicBezTo>
                            <a:cubicBezTo>
                              <a:pt x="1076" y="467"/>
                              <a:pt x="1090" y="457"/>
                              <a:pt x="1104" y="457"/>
                            </a:cubicBezTo>
                            <a:cubicBezTo>
                              <a:pt x="1107" y="457"/>
                              <a:pt x="1111" y="457"/>
                              <a:pt x="1115" y="458"/>
                            </a:cubicBezTo>
                            <a:cubicBezTo>
                              <a:pt x="1117" y="440"/>
                              <a:pt x="1117" y="440"/>
                              <a:pt x="1117" y="440"/>
                            </a:cubicBezTo>
                            <a:cubicBezTo>
                              <a:pt x="1114" y="439"/>
                              <a:pt x="1111" y="439"/>
                              <a:pt x="1107" y="439"/>
                            </a:cubicBezTo>
                            <a:cubicBezTo>
                              <a:pt x="1091" y="439"/>
                              <a:pt x="1076" y="449"/>
                              <a:pt x="1071" y="460"/>
                            </a:cubicBezTo>
                            <a:cubicBezTo>
                              <a:pt x="1071" y="440"/>
                              <a:pt x="1071" y="440"/>
                              <a:pt x="1071" y="440"/>
                            </a:cubicBezTo>
                            <a:cubicBezTo>
                              <a:pt x="1053" y="440"/>
                              <a:pt x="1053" y="440"/>
                              <a:pt x="1053" y="440"/>
                            </a:cubicBezTo>
                            <a:lnTo>
                              <a:pt x="1053" y="569"/>
                            </a:lnTo>
                            <a:close/>
                            <a:moveTo>
                              <a:pt x="1118" y="504"/>
                            </a:moveTo>
                            <a:cubicBezTo>
                              <a:pt x="1118" y="467"/>
                              <a:pt x="1145" y="438"/>
                              <a:pt x="1184" y="438"/>
                            </a:cubicBezTo>
                            <a:cubicBezTo>
                              <a:pt x="1218" y="438"/>
                              <a:pt x="1244" y="461"/>
                              <a:pt x="1245" y="503"/>
                            </a:cubicBezTo>
                            <a:cubicBezTo>
                              <a:pt x="1245" y="507"/>
                              <a:pt x="1245" y="507"/>
                              <a:pt x="1245" y="507"/>
                            </a:cubicBezTo>
                            <a:cubicBezTo>
                              <a:pt x="1136" y="507"/>
                              <a:pt x="1136" y="507"/>
                              <a:pt x="1136" y="507"/>
                            </a:cubicBezTo>
                            <a:cubicBezTo>
                              <a:pt x="1137" y="534"/>
                              <a:pt x="1156" y="554"/>
                              <a:pt x="1184" y="554"/>
                            </a:cubicBezTo>
                            <a:cubicBezTo>
                              <a:pt x="1205" y="554"/>
                              <a:pt x="1218" y="545"/>
                              <a:pt x="1226" y="530"/>
                            </a:cubicBezTo>
                            <a:cubicBezTo>
                              <a:pt x="1241" y="540"/>
                              <a:pt x="1241" y="540"/>
                              <a:pt x="1241" y="540"/>
                            </a:cubicBezTo>
                            <a:cubicBezTo>
                              <a:pt x="1230" y="559"/>
                              <a:pt x="1211" y="571"/>
                              <a:pt x="1184" y="571"/>
                            </a:cubicBezTo>
                            <a:cubicBezTo>
                              <a:pt x="1144" y="571"/>
                              <a:pt x="1118" y="541"/>
                              <a:pt x="1118" y="504"/>
                            </a:cubicBezTo>
                            <a:moveTo>
                              <a:pt x="1138" y="491"/>
                            </a:moveTo>
                            <a:cubicBezTo>
                              <a:pt x="1226" y="491"/>
                              <a:pt x="1226" y="491"/>
                              <a:pt x="1226" y="491"/>
                            </a:cubicBezTo>
                            <a:cubicBezTo>
                              <a:pt x="1223" y="468"/>
                              <a:pt x="1205" y="454"/>
                              <a:pt x="1184" y="454"/>
                            </a:cubicBezTo>
                            <a:cubicBezTo>
                              <a:pt x="1162" y="454"/>
                              <a:pt x="1142" y="468"/>
                              <a:pt x="1138" y="491"/>
                            </a:cubicBezTo>
                            <a:moveTo>
                              <a:pt x="1312" y="477"/>
                            </a:moveTo>
                            <a:cubicBezTo>
                              <a:pt x="1312" y="531"/>
                              <a:pt x="1354" y="572"/>
                              <a:pt x="1406" y="572"/>
                            </a:cubicBezTo>
                            <a:cubicBezTo>
                              <a:pt x="1440" y="572"/>
                              <a:pt x="1469" y="555"/>
                              <a:pt x="1486" y="529"/>
                            </a:cubicBezTo>
                            <a:cubicBezTo>
                              <a:pt x="1469" y="519"/>
                              <a:pt x="1469" y="519"/>
                              <a:pt x="1469" y="519"/>
                            </a:cubicBezTo>
                            <a:cubicBezTo>
                              <a:pt x="1456" y="539"/>
                              <a:pt x="1434" y="553"/>
                              <a:pt x="1406" y="553"/>
                            </a:cubicBezTo>
                            <a:cubicBezTo>
                              <a:pt x="1364" y="553"/>
                              <a:pt x="1332" y="520"/>
                              <a:pt x="1332" y="477"/>
                            </a:cubicBezTo>
                            <a:cubicBezTo>
                              <a:pt x="1332" y="435"/>
                              <a:pt x="1364" y="402"/>
                              <a:pt x="1406" y="402"/>
                            </a:cubicBezTo>
                            <a:cubicBezTo>
                              <a:pt x="1434" y="402"/>
                              <a:pt x="1456" y="415"/>
                              <a:pt x="1469" y="436"/>
                            </a:cubicBezTo>
                            <a:cubicBezTo>
                              <a:pt x="1486" y="426"/>
                              <a:pt x="1486" y="426"/>
                              <a:pt x="1486" y="426"/>
                            </a:cubicBezTo>
                            <a:cubicBezTo>
                              <a:pt x="1469" y="400"/>
                              <a:pt x="1440" y="383"/>
                              <a:pt x="1406" y="383"/>
                            </a:cubicBezTo>
                            <a:cubicBezTo>
                              <a:pt x="1354" y="383"/>
                              <a:pt x="1312" y="424"/>
                              <a:pt x="1312" y="477"/>
                            </a:cubicBezTo>
                            <a:moveTo>
                              <a:pt x="1496" y="504"/>
                            </a:moveTo>
                            <a:cubicBezTo>
                              <a:pt x="1496" y="468"/>
                              <a:pt x="1524" y="438"/>
                              <a:pt x="1563" y="438"/>
                            </a:cubicBezTo>
                            <a:cubicBezTo>
                              <a:pt x="1602" y="438"/>
                              <a:pt x="1630" y="468"/>
                              <a:pt x="1630" y="504"/>
                            </a:cubicBezTo>
                            <a:cubicBezTo>
                              <a:pt x="1630" y="541"/>
                              <a:pt x="1602" y="571"/>
                              <a:pt x="1563" y="571"/>
                            </a:cubicBezTo>
                            <a:cubicBezTo>
                              <a:pt x="1524" y="571"/>
                              <a:pt x="1496" y="541"/>
                              <a:pt x="1496" y="504"/>
                            </a:cubicBezTo>
                            <a:moveTo>
                              <a:pt x="1611" y="504"/>
                            </a:moveTo>
                            <a:cubicBezTo>
                              <a:pt x="1611" y="477"/>
                              <a:pt x="1592" y="454"/>
                              <a:pt x="1563" y="454"/>
                            </a:cubicBezTo>
                            <a:cubicBezTo>
                              <a:pt x="1533" y="454"/>
                              <a:pt x="1514" y="477"/>
                              <a:pt x="1514" y="504"/>
                            </a:cubicBezTo>
                            <a:cubicBezTo>
                              <a:pt x="1514" y="532"/>
                              <a:pt x="1533" y="554"/>
                              <a:pt x="1563" y="554"/>
                            </a:cubicBezTo>
                            <a:cubicBezTo>
                              <a:pt x="1592" y="554"/>
                              <a:pt x="1611" y="532"/>
                              <a:pt x="1611" y="504"/>
                            </a:cubicBezTo>
                            <a:moveTo>
                              <a:pt x="1757" y="440"/>
                            </a:moveTo>
                            <a:cubicBezTo>
                              <a:pt x="1739" y="440"/>
                              <a:pt x="1739" y="440"/>
                              <a:pt x="1739" y="440"/>
                            </a:cubicBezTo>
                            <a:cubicBezTo>
                              <a:pt x="1739" y="526"/>
                              <a:pt x="1739" y="526"/>
                              <a:pt x="1739" y="526"/>
                            </a:cubicBezTo>
                            <a:cubicBezTo>
                              <a:pt x="1734" y="542"/>
                              <a:pt x="1721" y="554"/>
                              <a:pt x="1703" y="554"/>
                            </a:cubicBezTo>
                            <a:cubicBezTo>
                              <a:pt x="1683" y="554"/>
                              <a:pt x="1670" y="541"/>
                              <a:pt x="1670" y="518"/>
                            </a:cubicBezTo>
                            <a:cubicBezTo>
                              <a:pt x="1670" y="440"/>
                              <a:pt x="1670" y="440"/>
                              <a:pt x="1670" y="440"/>
                            </a:cubicBezTo>
                            <a:cubicBezTo>
                              <a:pt x="1652" y="440"/>
                              <a:pt x="1652" y="440"/>
                              <a:pt x="1652" y="440"/>
                            </a:cubicBezTo>
                            <a:cubicBezTo>
                              <a:pt x="1652" y="521"/>
                              <a:pt x="1652" y="521"/>
                              <a:pt x="1652" y="521"/>
                            </a:cubicBezTo>
                            <a:cubicBezTo>
                              <a:pt x="1652" y="552"/>
                              <a:pt x="1672" y="571"/>
                              <a:pt x="1699" y="571"/>
                            </a:cubicBezTo>
                            <a:cubicBezTo>
                              <a:pt x="1714" y="571"/>
                              <a:pt x="1730" y="565"/>
                              <a:pt x="1739" y="551"/>
                            </a:cubicBezTo>
                            <a:cubicBezTo>
                              <a:pt x="1739" y="569"/>
                              <a:pt x="1739" y="569"/>
                              <a:pt x="1739" y="569"/>
                            </a:cubicBezTo>
                            <a:cubicBezTo>
                              <a:pt x="1757" y="569"/>
                              <a:pt x="1757" y="569"/>
                              <a:pt x="1757" y="569"/>
                            </a:cubicBezTo>
                            <a:lnTo>
                              <a:pt x="1757" y="440"/>
                            </a:lnTo>
                            <a:close/>
                            <a:moveTo>
                              <a:pt x="1792" y="569"/>
                            </a:moveTo>
                            <a:cubicBezTo>
                              <a:pt x="1810" y="569"/>
                              <a:pt x="1810" y="569"/>
                              <a:pt x="1810" y="569"/>
                            </a:cubicBezTo>
                            <a:cubicBezTo>
                              <a:pt x="1810" y="483"/>
                              <a:pt x="1810" y="483"/>
                              <a:pt x="1810" y="483"/>
                            </a:cubicBezTo>
                            <a:cubicBezTo>
                              <a:pt x="1815" y="466"/>
                              <a:pt x="1828" y="454"/>
                              <a:pt x="1848" y="454"/>
                            </a:cubicBezTo>
                            <a:cubicBezTo>
                              <a:pt x="1869" y="454"/>
                              <a:pt x="1882" y="467"/>
                              <a:pt x="1882" y="491"/>
                            </a:cubicBezTo>
                            <a:cubicBezTo>
                              <a:pt x="1882" y="569"/>
                              <a:pt x="1882" y="569"/>
                              <a:pt x="1882" y="569"/>
                            </a:cubicBezTo>
                            <a:cubicBezTo>
                              <a:pt x="1900" y="569"/>
                              <a:pt x="1900" y="569"/>
                              <a:pt x="1900" y="569"/>
                            </a:cubicBezTo>
                            <a:cubicBezTo>
                              <a:pt x="1900" y="488"/>
                              <a:pt x="1900" y="488"/>
                              <a:pt x="1900" y="488"/>
                            </a:cubicBezTo>
                            <a:cubicBezTo>
                              <a:pt x="1900" y="457"/>
                              <a:pt x="1880" y="438"/>
                              <a:pt x="1852" y="438"/>
                            </a:cubicBezTo>
                            <a:cubicBezTo>
                              <a:pt x="1835" y="438"/>
                              <a:pt x="1819" y="444"/>
                              <a:pt x="1810" y="458"/>
                            </a:cubicBezTo>
                            <a:cubicBezTo>
                              <a:pt x="1810" y="440"/>
                              <a:pt x="1810" y="440"/>
                              <a:pt x="1810" y="440"/>
                            </a:cubicBezTo>
                            <a:cubicBezTo>
                              <a:pt x="1792" y="440"/>
                              <a:pt x="1792" y="440"/>
                              <a:pt x="1792" y="440"/>
                            </a:cubicBezTo>
                            <a:lnTo>
                              <a:pt x="1792" y="569"/>
                            </a:lnTo>
                            <a:close/>
                            <a:moveTo>
                              <a:pt x="1922" y="504"/>
                            </a:moveTo>
                            <a:cubicBezTo>
                              <a:pt x="1922" y="541"/>
                              <a:pt x="1950" y="571"/>
                              <a:pt x="1989" y="571"/>
                            </a:cubicBezTo>
                            <a:cubicBezTo>
                              <a:pt x="2016" y="571"/>
                              <a:pt x="2037" y="557"/>
                              <a:pt x="2048" y="537"/>
                            </a:cubicBezTo>
                            <a:cubicBezTo>
                              <a:pt x="2032" y="528"/>
                              <a:pt x="2032" y="528"/>
                              <a:pt x="2032" y="528"/>
                            </a:cubicBezTo>
                            <a:cubicBezTo>
                              <a:pt x="2025" y="544"/>
                              <a:pt x="2009" y="554"/>
                              <a:pt x="1989" y="554"/>
                            </a:cubicBezTo>
                            <a:cubicBezTo>
                              <a:pt x="1960" y="554"/>
                              <a:pt x="1941" y="532"/>
                              <a:pt x="1941" y="504"/>
                            </a:cubicBezTo>
                            <a:cubicBezTo>
                              <a:pt x="1941" y="477"/>
                              <a:pt x="1960" y="454"/>
                              <a:pt x="1989" y="454"/>
                            </a:cubicBezTo>
                            <a:cubicBezTo>
                              <a:pt x="2009" y="454"/>
                              <a:pt x="2025" y="465"/>
                              <a:pt x="2032" y="480"/>
                            </a:cubicBezTo>
                            <a:cubicBezTo>
                              <a:pt x="2048" y="471"/>
                              <a:pt x="2048" y="471"/>
                              <a:pt x="2048" y="471"/>
                            </a:cubicBezTo>
                            <a:cubicBezTo>
                              <a:pt x="2037" y="451"/>
                              <a:pt x="2016" y="438"/>
                              <a:pt x="1989" y="438"/>
                            </a:cubicBezTo>
                            <a:cubicBezTo>
                              <a:pt x="1950" y="438"/>
                              <a:pt x="1922" y="468"/>
                              <a:pt x="1922" y="504"/>
                            </a:cubicBezTo>
                            <a:moveTo>
                              <a:pt x="2064" y="393"/>
                            </a:moveTo>
                            <a:cubicBezTo>
                              <a:pt x="2064" y="386"/>
                              <a:pt x="2071" y="380"/>
                              <a:pt x="2078" y="380"/>
                            </a:cubicBezTo>
                            <a:cubicBezTo>
                              <a:pt x="2086" y="380"/>
                              <a:pt x="2092" y="386"/>
                              <a:pt x="2092" y="393"/>
                            </a:cubicBezTo>
                            <a:cubicBezTo>
                              <a:pt x="2092" y="401"/>
                              <a:pt x="2086" y="407"/>
                              <a:pt x="2078" y="407"/>
                            </a:cubicBezTo>
                            <a:cubicBezTo>
                              <a:pt x="2071" y="407"/>
                              <a:pt x="2064" y="401"/>
                              <a:pt x="2064" y="393"/>
                            </a:cubicBezTo>
                            <a:moveTo>
                              <a:pt x="2069" y="440"/>
                            </a:moveTo>
                            <a:cubicBezTo>
                              <a:pt x="2087" y="440"/>
                              <a:pt x="2087" y="440"/>
                              <a:pt x="2087" y="440"/>
                            </a:cubicBezTo>
                            <a:cubicBezTo>
                              <a:pt x="2087" y="569"/>
                              <a:pt x="2087" y="569"/>
                              <a:pt x="2087" y="569"/>
                            </a:cubicBezTo>
                            <a:cubicBezTo>
                              <a:pt x="2069" y="569"/>
                              <a:pt x="2069" y="569"/>
                              <a:pt x="2069" y="569"/>
                            </a:cubicBezTo>
                            <a:lnTo>
                              <a:pt x="2069" y="440"/>
                            </a:lnTo>
                            <a:close/>
                            <a:moveTo>
                              <a:pt x="2122" y="569"/>
                            </a:moveTo>
                            <a:cubicBezTo>
                              <a:pt x="2140" y="569"/>
                              <a:pt x="2140" y="569"/>
                              <a:pt x="2140" y="569"/>
                            </a:cubicBezTo>
                            <a:cubicBezTo>
                              <a:pt x="2140" y="381"/>
                              <a:pt x="2140" y="381"/>
                              <a:pt x="2140" y="381"/>
                            </a:cubicBezTo>
                            <a:cubicBezTo>
                              <a:pt x="2122" y="381"/>
                              <a:pt x="2122" y="381"/>
                              <a:pt x="2122" y="381"/>
                            </a:cubicBezTo>
                            <a:lnTo>
                              <a:pt x="2122" y="569"/>
                            </a:lnTo>
                            <a:close/>
                            <a:moveTo>
                              <a:pt x="530" y="238"/>
                            </a:moveTo>
                            <a:cubicBezTo>
                              <a:pt x="582" y="307"/>
                              <a:pt x="625" y="388"/>
                              <a:pt x="625" y="470"/>
                            </a:cubicBezTo>
                            <a:cubicBezTo>
                              <a:pt x="623" y="533"/>
                              <a:pt x="574" y="575"/>
                              <a:pt x="512" y="572"/>
                            </a:cubicBezTo>
                            <a:cubicBezTo>
                              <a:pt x="437" y="569"/>
                              <a:pt x="370" y="532"/>
                              <a:pt x="311" y="491"/>
                            </a:cubicBezTo>
                            <a:cubicBezTo>
                              <a:pt x="206" y="416"/>
                              <a:pt x="103" y="307"/>
                              <a:pt x="58" y="182"/>
                            </a:cubicBezTo>
                            <a:cubicBezTo>
                              <a:pt x="46" y="235"/>
                              <a:pt x="51" y="291"/>
                              <a:pt x="71" y="342"/>
                            </a:cubicBezTo>
                            <a:cubicBezTo>
                              <a:pt x="73" y="347"/>
                              <a:pt x="78" y="360"/>
                              <a:pt x="80" y="364"/>
                            </a:cubicBezTo>
                            <a:cubicBezTo>
                              <a:pt x="83" y="369"/>
                              <a:pt x="89" y="381"/>
                              <a:pt x="92" y="386"/>
                            </a:cubicBezTo>
                            <a:cubicBezTo>
                              <a:pt x="154" y="489"/>
                              <a:pt x="250" y="574"/>
                              <a:pt x="379" y="583"/>
                            </a:cubicBezTo>
                            <a:cubicBezTo>
                              <a:pt x="379" y="583"/>
                              <a:pt x="380" y="583"/>
                              <a:pt x="379" y="583"/>
                            </a:cubicBezTo>
                            <a:cubicBezTo>
                              <a:pt x="285" y="594"/>
                              <a:pt x="188" y="559"/>
                              <a:pt x="118" y="494"/>
                            </a:cubicBezTo>
                            <a:cubicBezTo>
                              <a:pt x="81" y="455"/>
                              <a:pt x="50" y="409"/>
                              <a:pt x="30" y="358"/>
                            </a:cubicBezTo>
                            <a:cubicBezTo>
                              <a:pt x="2" y="286"/>
                              <a:pt x="0" y="204"/>
                              <a:pt x="27" y="132"/>
                            </a:cubicBezTo>
                            <a:cubicBezTo>
                              <a:pt x="38" y="100"/>
                              <a:pt x="82" y="104"/>
                              <a:pt x="90" y="137"/>
                            </a:cubicBezTo>
                            <a:cubicBezTo>
                              <a:pt x="130" y="292"/>
                              <a:pt x="302" y="463"/>
                              <a:pt x="452" y="516"/>
                            </a:cubicBezTo>
                            <a:cubicBezTo>
                              <a:pt x="639" y="576"/>
                              <a:pt x="585" y="396"/>
                              <a:pt x="519" y="299"/>
                            </a:cubicBezTo>
                            <a:cubicBezTo>
                              <a:pt x="511" y="347"/>
                              <a:pt x="499" y="394"/>
                              <a:pt x="484" y="440"/>
                            </a:cubicBezTo>
                            <a:cubicBezTo>
                              <a:pt x="478" y="458"/>
                              <a:pt x="472" y="475"/>
                              <a:pt x="464" y="493"/>
                            </a:cubicBezTo>
                            <a:cubicBezTo>
                              <a:pt x="463" y="494"/>
                              <a:pt x="461" y="494"/>
                              <a:pt x="461" y="492"/>
                            </a:cubicBezTo>
                            <a:cubicBezTo>
                              <a:pt x="461" y="380"/>
                              <a:pt x="491" y="271"/>
                              <a:pt x="519" y="164"/>
                            </a:cubicBezTo>
                            <a:cubicBezTo>
                              <a:pt x="534" y="110"/>
                              <a:pt x="534" y="110"/>
                              <a:pt x="534" y="110"/>
                            </a:cubicBezTo>
                            <a:cubicBezTo>
                              <a:pt x="539" y="95"/>
                              <a:pt x="543" y="80"/>
                              <a:pt x="548" y="66"/>
                            </a:cubicBezTo>
                            <a:cubicBezTo>
                              <a:pt x="534" y="84"/>
                              <a:pt x="519" y="103"/>
                              <a:pt x="504" y="120"/>
                            </a:cubicBezTo>
                            <a:cubicBezTo>
                              <a:pt x="492" y="135"/>
                              <a:pt x="479" y="150"/>
                              <a:pt x="467" y="164"/>
                            </a:cubicBezTo>
                            <a:cubicBezTo>
                              <a:pt x="474" y="173"/>
                              <a:pt x="483" y="181"/>
                              <a:pt x="491" y="191"/>
                            </a:cubicBezTo>
                            <a:cubicBezTo>
                              <a:pt x="485" y="206"/>
                              <a:pt x="479" y="222"/>
                              <a:pt x="474" y="238"/>
                            </a:cubicBezTo>
                            <a:cubicBezTo>
                              <a:pt x="462" y="224"/>
                              <a:pt x="450" y="210"/>
                              <a:pt x="437" y="197"/>
                            </a:cubicBezTo>
                            <a:cubicBezTo>
                              <a:pt x="424" y="210"/>
                              <a:pt x="411" y="223"/>
                              <a:pt x="397" y="235"/>
                            </a:cubicBezTo>
                            <a:cubicBezTo>
                              <a:pt x="376" y="252"/>
                              <a:pt x="355" y="268"/>
                              <a:pt x="331" y="280"/>
                            </a:cubicBezTo>
                            <a:cubicBezTo>
                              <a:pt x="330" y="281"/>
                              <a:pt x="329" y="280"/>
                              <a:pt x="329" y="278"/>
                            </a:cubicBezTo>
                            <a:cubicBezTo>
                              <a:pt x="368" y="208"/>
                              <a:pt x="429" y="156"/>
                              <a:pt x="489" y="105"/>
                            </a:cubicBezTo>
                            <a:cubicBezTo>
                              <a:pt x="507" y="90"/>
                              <a:pt x="525" y="76"/>
                              <a:pt x="544" y="62"/>
                            </a:cubicBezTo>
                            <a:cubicBezTo>
                              <a:pt x="529" y="66"/>
                              <a:pt x="514" y="71"/>
                              <a:pt x="500" y="75"/>
                            </a:cubicBezTo>
                            <a:cubicBezTo>
                              <a:pt x="468" y="84"/>
                              <a:pt x="434" y="94"/>
                              <a:pt x="400" y="102"/>
                            </a:cubicBezTo>
                            <a:cubicBezTo>
                              <a:pt x="409" y="110"/>
                              <a:pt x="418" y="118"/>
                              <a:pt x="427" y="126"/>
                            </a:cubicBezTo>
                            <a:cubicBezTo>
                              <a:pt x="422" y="130"/>
                              <a:pt x="416" y="134"/>
                              <a:pt x="411" y="138"/>
                            </a:cubicBezTo>
                            <a:cubicBezTo>
                              <a:pt x="404" y="143"/>
                              <a:pt x="398" y="148"/>
                              <a:pt x="392" y="154"/>
                            </a:cubicBezTo>
                            <a:cubicBezTo>
                              <a:pt x="377" y="141"/>
                              <a:pt x="362" y="128"/>
                              <a:pt x="346" y="116"/>
                            </a:cubicBezTo>
                            <a:cubicBezTo>
                              <a:pt x="344" y="117"/>
                              <a:pt x="341" y="117"/>
                              <a:pt x="339" y="118"/>
                            </a:cubicBezTo>
                            <a:cubicBezTo>
                              <a:pt x="285" y="131"/>
                              <a:pt x="231" y="141"/>
                              <a:pt x="176" y="146"/>
                            </a:cubicBezTo>
                            <a:cubicBezTo>
                              <a:pt x="157" y="147"/>
                              <a:pt x="139" y="149"/>
                              <a:pt x="120" y="148"/>
                            </a:cubicBezTo>
                            <a:cubicBezTo>
                              <a:pt x="118" y="148"/>
                              <a:pt x="118" y="146"/>
                              <a:pt x="119" y="145"/>
                            </a:cubicBezTo>
                            <a:cubicBezTo>
                              <a:pt x="222" y="101"/>
                              <a:pt x="333" y="86"/>
                              <a:pt x="442" y="69"/>
                            </a:cubicBezTo>
                            <a:cubicBezTo>
                              <a:pt x="497" y="62"/>
                              <a:pt x="497" y="62"/>
                              <a:pt x="497" y="62"/>
                            </a:cubicBezTo>
                            <a:cubicBezTo>
                              <a:pt x="515" y="60"/>
                              <a:pt x="534" y="58"/>
                              <a:pt x="552" y="56"/>
                            </a:cubicBezTo>
                            <a:cubicBezTo>
                              <a:pt x="552" y="56"/>
                              <a:pt x="553" y="56"/>
                              <a:pt x="553" y="56"/>
                            </a:cubicBezTo>
                            <a:cubicBezTo>
                              <a:pt x="554" y="57"/>
                              <a:pt x="554" y="57"/>
                              <a:pt x="554" y="58"/>
                            </a:cubicBezTo>
                            <a:cubicBezTo>
                              <a:pt x="552" y="76"/>
                              <a:pt x="550" y="95"/>
                              <a:pt x="548" y="113"/>
                            </a:cubicBezTo>
                            <a:cubicBezTo>
                              <a:pt x="542" y="153"/>
                              <a:pt x="536" y="197"/>
                              <a:pt x="530" y="238"/>
                            </a:cubicBezTo>
                            <a:moveTo>
                              <a:pt x="149" y="16"/>
                            </a:moveTo>
                            <a:cubicBezTo>
                              <a:pt x="196" y="21"/>
                              <a:pt x="239" y="42"/>
                              <a:pt x="279" y="68"/>
                            </a:cubicBezTo>
                            <a:cubicBezTo>
                              <a:pt x="295" y="64"/>
                              <a:pt x="311" y="62"/>
                              <a:pt x="327" y="60"/>
                            </a:cubicBezTo>
                            <a:cubicBezTo>
                              <a:pt x="331" y="60"/>
                              <a:pt x="335" y="59"/>
                              <a:pt x="339" y="59"/>
                            </a:cubicBezTo>
                            <a:cubicBezTo>
                              <a:pt x="322" y="49"/>
                              <a:pt x="305" y="41"/>
                              <a:pt x="288" y="33"/>
                            </a:cubicBezTo>
                            <a:cubicBezTo>
                              <a:pt x="244" y="14"/>
                              <a:pt x="197" y="0"/>
                              <a:pt x="149" y="4"/>
                            </a:cubicBezTo>
                            <a:cubicBezTo>
                              <a:pt x="125" y="6"/>
                              <a:pt x="101" y="15"/>
                              <a:pt x="86" y="32"/>
                            </a:cubicBezTo>
                            <a:cubicBezTo>
                              <a:pt x="86" y="33"/>
                              <a:pt x="86" y="33"/>
                              <a:pt x="86" y="33"/>
                            </a:cubicBezTo>
                            <a:cubicBezTo>
                              <a:pt x="104" y="18"/>
                              <a:pt x="127" y="14"/>
                              <a:pt x="149" y="16"/>
                            </a:cubicBezTo>
                          </a:path>
                        </a:pathLst>
                      </a:custGeom>
                      <a:solidFill>
                        <a:srgbClr val="FFFE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B5EC98" id="Freeform 5" o:spid="_x0000_s1026" alt="&quot;&quot;" style="position:absolute;margin-left:417pt;margin-top:11.25pt;width:133.65pt;height:37.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140,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" path="m920,129v,52,-40,93,-98,93c778,222,778,222,778,222v,98,,98,,98c731,320,731,320,731,320v,-284,,-284,,-284c822,36,822,36,822,36v58,,98,40,98,93m874,129v,-28,-19,-49,-53,-49c778,80,778,80,778,80v,97,,97,,97c821,177,821,177,821,177v34,,53,-21,53,-48m1026,324v-59,,-99,-48,-99,-104c927,163,967,116,1026,116v24,,45,8,59,22c1085,120,1085,120,1085,120v44,,44,,44,c1129,320,1129,320,1129,320v-44,,-44,,-44,c1085,301,1085,301,1085,301v-14,15,-35,23,-59,23m1032,284v25,,43,-12,53,-28c1085,184,1085,184,1085,184v-10,-16,-28,-28,-53,-28c996,156,972,185,972,220v,35,24,64,60,64m1175,320v44,,44,,44,c1219,192,1219,192,1219,192v9,-21,29,-31,47,-31c1273,161,1279,161,1283,163v7,-43,7,-43,7,-43c1285,119,1278,118,1269,118v-22,,-43,13,-50,29c1219,120,1219,120,1219,120v-44,,-44,,-44,l1175,320xm1310,320v44,,44,,44,c1354,223,1354,223,1354,223v96,97,96,97,96,97c1506,320,1506,320,1506,320,1397,209,1397,209,1397,209v89,-89,89,-89,89,-89c1430,120,1430,120,1430,120v-76,76,-76,76,-76,76c1354,28,1354,28,1354,28v-44,,-44,,-44,l1310,320xm1593,116v52,,96,35,96,99c1689,220,1689,223,1689,230v-158,,-158,,-158,c1533,262,1560,284,1593,284v28,,47,-13,57,-30c1684,278,1684,278,1684,278v-18,28,-49,46,-91,46c1532,324,1488,281,1488,220v,-59,44,-104,105,-104m1533,198v112,,112,,112,c1640,169,1617,153,1591,153v-26,,-52,15,-58,45m1784,324v41,,73,-23,73,-62c1857,229,1836,212,1801,201v-21,-6,-21,-6,-21,-6c1761,190,1756,181,1756,171v,-12,14,-18,27,-18c1799,153,1812,161,1821,173v30,-23,30,-23,30,-23c1837,128,1814,116,1784,116v-40,,-72,21,-72,57c1712,203,1730,225,1765,234v17,5,17,5,17,5c1806,246,1813,253,1813,265v,14,-13,21,-29,21c1764,286,1744,276,1736,258v-32,24,-32,24,-32,24c1718,310,1749,324,1784,324m716,539v8,18,32,33,63,33c812,572,835,553,835,523v,-27,-15,-42,-42,-53c769,461,769,461,769,461v-19,-7,-28,-15,-28,-31c741,413,757,402,777,402v17,,28,7,37,18c829,408,829,408,829,408,819,394,801,383,778,383v-32,,-56,18,-56,47c722,455,734,469,762,480v27,10,27,10,27,10c806,496,816,507,816,523v,19,-17,30,-37,30c757,553,742,543,732,527v-16,12,-16,12,-16,12m859,569v18,,18,,18,c877,483,877,483,877,483v5,-17,18,-29,38,-29c936,454,950,467,950,491v,78,,78,,78c968,569,968,569,968,569v,-81,,-81,,-81c968,457,947,438,919,438v-16,,-33,6,-42,20c877,381,877,381,877,381v-18,,-18,,-18,l859,569xm996,393v,-7,6,-13,14,-13c1017,380,1023,386,1023,393v,8,-6,14,-13,14c1002,407,996,401,996,393t4,47c1018,440,1018,440,1018,440v,129,,129,,129c1000,569,1000,569,1000,569r,-129xm1053,569v18,,18,,18,c1071,485,1071,485,1071,485v5,-18,19,-28,33,-28c1107,457,1111,457,1115,458v2,-18,2,-18,2,-18c1114,439,1111,439,1107,439v-16,,-31,10,-36,21c1071,440,1071,440,1071,440v-18,,-18,,-18,l1053,569xm1118,504v,-37,27,-66,66,-66c1218,438,1244,461,1245,503v,4,,4,,4c1136,507,1136,507,1136,507v1,27,20,47,48,47c1205,554,1218,545,1226,530v15,10,15,10,15,10c1230,559,1211,571,1184,571v-40,,-66,-30,-66,-67m1138,491v88,,88,,88,c1223,468,1205,454,1184,454v-22,,-42,14,-46,37m1312,477v,54,42,95,94,95c1440,572,1469,555,1486,529v-17,-10,-17,-10,-17,-10c1456,539,1434,553,1406,553v-42,,-74,-33,-74,-76c1332,435,1364,402,1406,402v28,,50,13,63,34c1486,426,1486,426,1486,426v-17,-26,-46,-43,-80,-43c1354,383,1312,424,1312,477t184,27c1496,468,1524,438,1563,438v39,,67,30,67,66c1630,541,1602,571,1563,571v-39,,-67,-30,-67,-67m1611,504v,-27,-19,-50,-48,-50c1533,454,1514,477,1514,504v,28,19,50,49,50c1592,554,1611,532,1611,504t146,-64c1739,440,1739,440,1739,440v,86,,86,,86c1734,542,1721,554,1703,554v-20,,-33,-13,-33,-36c1670,440,1670,440,1670,440v-18,,-18,,-18,c1652,521,1652,521,1652,521v,31,20,50,47,50c1714,571,1730,565,1739,551v,18,,18,,18c1757,569,1757,569,1757,569r,-129xm1792,569v18,,18,,18,c1810,483,1810,483,1810,483v5,-17,18,-29,38,-29c1869,454,1882,467,1882,491v,78,,78,,78c1900,569,1900,569,1900,569v,-81,,-81,,-81c1900,457,1880,438,1852,438v-17,,-33,6,-42,20c1810,440,1810,440,1810,440v-18,,-18,,-18,l1792,569xm1922,504v,37,28,67,67,67c2016,571,2037,557,2048,537v-16,-9,-16,-9,-16,-9c2025,544,2009,554,1989,554v-29,,-48,-22,-48,-50c1941,477,1960,454,1989,454v20,,36,11,43,26c2048,471,2048,471,2048,471v-11,-20,-32,-33,-59,-33c1950,438,1922,468,1922,504m2064,393v,-7,7,-13,14,-13c2086,380,2092,386,2092,393v,8,-6,14,-14,14c2071,407,2064,401,2064,393t5,47c2087,440,2087,440,2087,440v,129,,129,,129c2069,569,2069,569,2069,569r,-129xm2122,569v18,,18,,18,c2140,381,2140,381,2140,381v-18,,-18,,-18,l2122,569xm530,238v52,69,95,150,95,232c623,533,574,575,512,572,437,569,370,532,311,491,206,416,103,307,58,182,46,235,51,291,71,342v2,5,7,18,9,22c83,369,89,381,92,386v62,103,158,188,287,197c379,583,380,583,379,583,285,594,188,559,118,494,81,455,50,409,30,358,2,286,,204,27,132v11,-32,55,-28,63,5c130,292,302,463,452,516,639,576,585,396,519,299v-8,48,-20,95,-35,141c478,458,472,475,464,493v-1,1,-3,1,-3,-1c461,380,491,271,519,164v15,-54,15,-54,15,-54c539,95,543,80,548,66v-14,18,-29,37,-44,54c492,135,479,150,467,164v7,9,16,17,24,27c485,206,479,222,474,238,462,224,450,210,437,197v-13,13,-26,26,-40,38c376,252,355,268,331,280v-1,1,-2,,-2,-2c368,208,429,156,489,105,507,90,525,76,544,62v-15,4,-30,9,-44,13c468,84,434,94,400,102v9,8,18,16,27,24c422,130,416,134,411,138v-7,5,-13,10,-19,16c377,141,362,128,346,116v-2,1,-5,1,-7,2c285,131,231,141,176,146v-19,1,-37,3,-56,2c118,148,118,146,119,145,222,101,333,86,442,69v55,-7,55,-7,55,-7c515,60,534,58,552,56v,,1,,1,c554,57,554,57,554,58v-2,18,-4,37,-6,55c542,153,536,197,530,238m149,16v47,5,90,26,130,52c295,64,311,62,327,60v4,,8,-1,12,-1c322,49,305,41,288,33,244,14,197,,149,4,125,6,101,15,86,32v,1,,1,,1c104,18,127,14,149,16e" fillcolor="#fffeff" stroked="f">
              <v:path arrowok="t" o:connecttype="custom" o:connectlocs="579797,254513;651182,63628;813779,257695;895474,95442;818538,225880;818538,225880;1017620,129643;931959,95442;1150077,254513;1073934,155889;1339641,171001;1335676,221108;1304743,157480;1428475,159866;1468133,119303;1437993,210769;567900,428696;587729,342002;572659,342002;580591,419151;725738,361091;728911,348365;789984,312574;793157,349956;835194,452556;885956,349956;835194,452556;901026,403244;886749,400858;1040621,379384;1056485,379384;1040621,379384;1186562,400858;1277775,400858;1324571,411993;1379299,438240;1435613,452556;1506997,452556;1421337,349956;1611694,419947;1624385,374612;1659283,312574;1655318,452556;1697355,303030;406096,454942;72970,307006;21415,104987;368025,392109;399751,95442;314883,186908;396578,59652;274432,92261;350575,54879;434650,89875;268880,46926;118180,12726" o:connectangles="0,0,0,0,0,0,0,0,0,0,0,0,0,0,0,0,0,0,0,0,0,0,0,0,0,0,0,0,0,0,0,0,0,0,0,0,0,0,0,0,0,0,0,0,0,0,0,0,0,0,0,0,0,0,0,0"/>
              <o:lock v:ext="edit" verticies="t"/>
              <w10:wrap anchorx="page" anchory="page"/>
              <w10:anchorlock/>
            </v:shape>
          </w:pict>
        </mc:Fallback>
      </mc:AlternateContent>
    </w:r>
    <w:r w:rsidR="00EF3242" w:rsidRPr="00D75121">
      <w:rPr>
        <w:noProof/>
      </w:rPr>
      <mc:AlternateContent>
        <mc:Choice Requires="wps">
          <w:drawing>
            <wp:anchor distT="0" distB="0" distL="114300" distR="114300" simplePos="0" relativeHeight="251657728" behindDoc="1" locked="1" layoutInCell="1" allowOverlap="1" wp14:anchorId="4859DD34" wp14:editId="42210A6E">
              <wp:simplePos x="0" y="0"/>
              <wp:positionH relativeFrom="page">
                <wp:posOffset>-9525</wp:posOffset>
              </wp:positionH>
              <wp:positionV relativeFrom="page">
                <wp:posOffset>9525</wp:posOffset>
              </wp:positionV>
              <wp:extent cx="7610475" cy="1390650"/>
              <wp:effectExtent l="0" t="0" r="9525" b="0"/>
              <wp:wrapNone/>
              <wp:docPr id="8"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0475" cy="1390650"/>
                      </a:xfrm>
                      <a:custGeom>
                        <a:avLst/>
                        <a:gdLst>
                          <a:gd name="T0" fmla="*/ 44 w 2381"/>
                          <a:gd name="T1" fmla="*/ 299 h 638"/>
                          <a:gd name="T2" fmla="*/ 2381 w 2381"/>
                          <a:gd name="T3" fmla="*/ 638 h 638"/>
                          <a:gd name="T4" fmla="*/ 2381 w 2381"/>
                          <a:gd name="T5" fmla="*/ 0 h 638"/>
                          <a:gd name="T6" fmla="*/ 0 w 2381"/>
                          <a:gd name="T7" fmla="*/ 0 h 638"/>
                          <a:gd name="T8" fmla="*/ 0 w 2381"/>
                          <a:gd name="T9" fmla="*/ 303 h 638"/>
                          <a:gd name="T10" fmla="*/ 44 w 2381"/>
                          <a:gd name="T11" fmla="*/ 299 h 638"/>
                        </a:gdLst>
                        <a:ahLst/>
                        <a:cxnLst>
                          <a:cxn ang="0">
                            <a:pos x="T0" y="T1"/>
                          </a:cxn>
                          <a:cxn ang="0">
                            <a:pos x="T2" y="T3"/>
                          </a:cxn>
                          <a:cxn ang="0">
                            <a:pos x="T4" y="T5"/>
                          </a:cxn>
                          <a:cxn ang="0">
                            <a:pos x="T6" y="T7"/>
                          </a:cxn>
                          <a:cxn ang="0">
                            <a:pos x="T8" y="T9"/>
                          </a:cxn>
                          <a:cxn ang="0">
                            <a:pos x="T10" y="T11"/>
                          </a:cxn>
                        </a:cxnLst>
                        <a:rect l="0" t="0" r="r" b="b"/>
                        <a:pathLst>
                          <a:path w="2381" h="638">
                            <a:moveTo>
                              <a:pt x="44" y="299"/>
                            </a:moveTo>
                            <a:cubicBezTo>
                              <a:pt x="994" y="222"/>
                              <a:pt x="1850" y="362"/>
                              <a:pt x="2381" y="638"/>
                            </a:cubicBezTo>
                            <a:cubicBezTo>
                              <a:pt x="2381" y="0"/>
                              <a:pt x="2381" y="0"/>
                              <a:pt x="2381" y="0"/>
                            </a:cubicBezTo>
                            <a:cubicBezTo>
                              <a:pt x="0" y="0"/>
                              <a:pt x="0" y="0"/>
                              <a:pt x="0" y="0"/>
                            </a:cubicBezTo>
                            <a:cubicBezTo>
                              <a:pt x="0" y="303"/>
                              <a:pt x="0" y="303"/>
                              <a:pt x="0" y="303"/>
                            </a:cubicBezTo>
                            <a:cubicBezTo>
                              <a:pt x="15" y="302"/>
                              <a:pt x="29" y="301"/>
                              <a:pt x="44" y="299"/>
                            </a:cubicBezTo>
                            <a:close/>
                          </a:path>
                        </a:pathLst>
                      </a:custGeom>
                      <a:solidFill>
                        <a:srgbClr val="073354"/>
                      </a:solidFill>
                      <a:ln>
                        <a:noFill/>
                      </a:ln>
                    </wps:spPr>
                    <wps:txbx>
                      <w:txbxContent>
                        <w:p w14:paraId="03ADEB1B" w14:textId="59F86B5D" w:rsidR="003F314C" w:rsidRPr="009303D7" w:rsidRDefault="009303D7" w:rsidP="009303D7">
                          <w:pPr>
                            <w:jc w:val="left"/>
                            <w:rPr>
                              <w:color w:val="FFFFFF" w:themeColor="background1"/>
                              <w:sz w:val="28"/>
                              <w:szCs w:val="28"/>
                            </w:rPr>
                          </w:pPr>
                          <w:r>
                            <w:rPr>
                              <w:color w:val="FFFFFF" w:themeColor="background1"/>
                              <w:sz w:val="28"/>
                              <w:szCs w:val="28"/>
                            </w:rPr>
                            <w:t xml:space="preserve">            </w:t>
                          </w:r>
                          <w:r w:rsidR="003F314C" w:rsidRPr="009303D7">
                            <w:rPr>
                              <w:color w:val="FFFFFF" w:themeColor="background1"/>
                              <w:sz w:val="28"/>
                              <w:szCs w:val="28"/>
                            </w:rPr>
                            <w:t>94A Contributions</w:t>
                          </w:r>
                          <w:r w:rsidRPr="009303D7">
                            <w:rPr>
                              <w:color w:val="FFFFFF" w:themeColor="background1"/>
                              <w:sz w:val="28"/>
                              <w:szCs w:val="28"/>
                            </w:rPr>
                            <w:t xml:space="preserve"> Plan</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59DD34" id="Freeform 5" o:spid="_x0000_s1026" alt="&quot;&quot;" style="position:absolute;left:0;text-align:left;margin-left:-.75pt;margin-top:.75pt;width:599.25pt;height:10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381,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" adj="-11796480,,5400" path="m44,299v950,-77,1806,63,2337,339c2381,,2381,,2381,,,,,,,,,303,,303,,303v15,-1,29,-2,44,-4xe" fillcolor="#073354" stroked="f">
              <v:stroke joinstyle="miter"/>
              <v:formulas/>
              <v:path arrowok="t" o:connecttype="custom" o:connectlocs="140639,651731;7610475,1390650;7610475,0;0,0;0,660450;140639,651731" o:connectangles="0,0,0,0,0,0" textboxrect="0,0,2381,638"/>
              <v:textbox>
                <w:txbxContent>
                  <w:p w14:paraId="03ADEB1B" w14:textId="59F86B5D" w:rsidR="003F314C" w:rsidRPr="009303D7" w:rsidRDefault="009303D7" w:rsidP="009303D7">
                    <w:pPr>
                      <w:jc w:val="left"/>
                      <w:rPr>
                        <w:color w:val="FFFFFF" w:themeColor="background1"/>
                        <w:sz w:val="28"/>
                        <w:szCs w:val="28"/>
                      </w:rPr>
                    </w:pPr>
                    <w:r>
                      <w:rPr>
                        <w:color w:val="FFFFFF" w:themeColor="background1"/>
                        <w:sz w:val="28"/>
                        <w:szCs w:val="28"/>
                      </w:rPr>
                      <w:t xml:space="preserve">            </w:t>
                    </w:r>
                    <w:r w:rsidR="003F314C" w:rsidRPr="009303D7">
                      <w:rPr>
                        <w:color w:val="FFFFFF" w:themeColor="background1"/>
                        <w:sz w:val="28"/>
                        <w:szCs w:val="28"/>
                      </w:rPr>
                      <w:t>94A Contributions</w:t>
                    </w:r>
                    <w:r w:rsidRPr="009303D7">
                      <w:rPr>
                        <w:color w:val="FFFFFF" w:themeColor="background1"/>
                        <w:sz w:val="28"/>
                        <w:szCs w:val="28"/>
                      </w:rPr>
                      <w:t xml:space="preserve"> Plan</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832540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983867"/>
    <w:multiLevelType w:val="multilevel"/>
    <w:tmpl w:val="830CE8FA"/>
    <w:styleLink w:val="AppendixList"/>
    <w:lvl w:ilvl="0">
      <w:start w:val="1"/>
      <w:numFmt w:val="upperLetter"/>
      <w:pStyle w:val="AppendixHeading"/>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cs="Times New Roman" w:hint="default"/>
        <w:b w:val="0"/>
        <w:i w:val="0"/>
        <w:sz w:val="20"/>
        <w:szCs w:val="20"/>
      </w:rPr>
    </w:lvl>
    <w:lvl w:ilvl="1">
      <w:start w:val="1"/>
      <w:numFmt w:val="decimal"/>
      <w:lvlText w:val="%1.%2"/>
      <w:lvlJc w:val="left"/>
      <w:pPr>
        <w:tabs>
          <w:tab w:val="num" w:pos="1701"/>
        </w:tabs>
        <w:ind w:left="1701" w:hanging="850"/>
      </w:pPr>
    </w:lvl>
    <w:lvl w:ilvl="2">
      <w:start w:val="1"/>
      <w:numFmt w:val="decimal"/>
      <w:lvlText w:val="%1.%2.%3"/>
      <w:lvlJc w:val="left"/>
      <w:pPr>
        <w:tabs>
          <w:tab w:val="num" w:pos="2552"/>
        </w:tabs>
        <w:ind w:left="2552" w:hanging="851"/>
      </w:pPr>
    </w:lvl>
    <w:lvl w:ilvl="3">
      <w:start w:val="1"/>
      <w:numFmt w:val="decimal"/>
      <w:lvlText w:val="%1.%2.%3.%4"/>
      <w:lvlJc w:val="left"/>
      <w:pPr>
        <w:tabs>
          <w:tab w:val="num" w:pos="3686"/>
        </w:tabs>
        <w:ind w:left="3686" w:hanging="1134"/>
      </w:pPr>
    </w:lvl>
    <w:lvl w:ilvl="4">
      <w:start w:val="1"/>
      <w:numFmt w:val="decimal"/>
      <w:lvlText w:val="%1.%2.%3.%4.%5"/>
      <w:lvlJc w:val="left"/>
      <w:pPr>
        <w:tabs>
          <w:tab w:val="num" w:pos="4820"/>
        </w:tabs>
        <w:ind w:left="4820" w:hanging="1134"/>
      </w:pPr>
    </w:lvl>
    <w:lvl w:ilvl="5">
      <w:start w:val="1"/>
      <w:numFmt w:val="decimal"/>
      <w:lvlText w:val="%1.%2.%3.%4.%5.%6."/>
      <w:lvlJc w:val="left"/>
      <w:pPr>
        <w:tabs>
          <w:tab w:val="num" w:pos="0"/>
        </w:tabs>
        <w:ind w:left="4532" w:hanging="708"/>
      </w:pPr>
    </w:lvl>
    <w:lvl w:ilvl="6">
      <w:start w:val="1"/>
      <w:numFmt w:val="decimal"/>
      <w:lvlText w:val="%1.%2.%3.%4.%5.%6.%7."/>
      <w:lvlJc w:val="left"/>
      <w:pPr>
        <w:tabs>
          <w:tab w:val="num" w:pos="0"/>
        </w:tabs>
        <w:ind w:left="5240" w:hanging="708"/>
      </w:pPr>
    </w:lvl>
    <w:lvl w:ilvl="7">
      <w:start w:val="1"/>
      <w:numFmt w:val="decimal"/>
      <w:lvlText w:val="%1.%2.%3.%4.%5.%6.%7.%8."/>
      <w:lvlJc w:val="left"/>
      <w:pPr>
        <w:tabs>
          <w:tab w:val="num" w:pos="0"/>
        </w:tabs>
        <w:ind w:left="5948" w:hanging="708"/>
      </w:pPr>
    </w:lvl>
    <w:lvl w:ilvl="8">
      <w:start w:val="1"/>
      <w:numFmt w:val="decimal"/>
      <w:lvlText w:val="%1.%2.%3.%4.%5.%6.%7.%8.%9."/>
      <w:lvlJc w:val="left"/>
      <w:pPr>
        <w:tabs>
          <w:tab w:val="num" w:pos="0"/>
        </w:tabs>
        <w:ind w:left="6656" w:hanging="708"/>
      </w:pPr>
    </w:lvl>
  </w:abstractNum>
  <w:abstractNum w:abstractNumId="5" w15:restartNumberingAfterBreak="0">
    <w:nsid w:val="15A46652"/>
    <w:multiLevelType w:val="multilevel"/>
    <w:tmpl w:val="4D0E7136"/>
    <w:styleLink w:val="TableList"/>
    <w:lvl w:ilvl="0">
      <w:start w:val="1"/>
      <w:numFmt w:val="decimal"/>
      <w:pStyle w:val="TableList1"/>
      <w:lvlText w:val="%1."/>
      <w:lvlJc w:val="left"/>
      <w:pPr>
        <w:ind w:left="227" w:hanging="227"/>
      </w:pPr>
      <w:rPr>
        <w:rFonts w:hint="default"/>
      </w:rPr>
    </w:lvl>
    <w:lvl w:ilvl="1">
      <w:start w:val="1"/>
      <w:numFmt w:val="lowerLetter"/>
      <w:pStyle w:val="TableLista"/>
      <w:lvlText w:val="%2."/>
      <w:lvlJc w:val="left"/>
      <w:pPr>
        <w:ind w:left="454" w:hanging="22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408564EA"/>
    <w:multiLevelType w:val="multilevel"/>
    <w:tmpl w:val="013A6A80"/>
    <w:lvl w:ilvl="0">
      <w:start w:val="1"/>
      <w:numFmt w:val="decimal"/>
      <w:pStyle w:val="Heading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suff w:val="nothing"/>
      <w:lvlText w:val="%6"/>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43F148C1"/>
    <w:multiLevelType w:val="multilevel"/>
    <w:tmpl w:val="9FFC1722"/>
    <w:lvl w:ilvl="0">
      <w:start w:val="1"/>
      <w:numFmt w:val="bullet"/>
      <w:pStyle w:val="ListBullet"/>
      <w:lvlText w:val=""/>
      <w:lvlJc w:val="left"/>
      <w:pPr>
        <w:tabs>
          <w:tab w:val="num" w:pos="720"/>
        </w:tabs>
        <w:ind w:left="720" w:hanging="363"/>
      </w:pPr>
      <w:rPr>
        <w:rFonts w:ascii="Symbol" w:hAnsi="Symbol" w:hint="default"/>
        <w:color w:val="000000" w:themeColor="text1"/>
      </w:rPr>
    </w:lvl>
    <w:lvl w:ilvl="1">
      <w:start w:val="1"/>
      <w:numFmt w:val="bullet"/>
      <w:pStyle w:val="ListBullet2"/>
      <w:lvlText w:val="o"/>
      <w:lvlJc w:val="left"/>
      <w:pPr>
        <w:tabs>
          <w:tab w:val="num" w:pos="1077"/>
        </w:tabs>
        <w:ind w:left="1077" w:hanging="357"/>
      </w:pPr>
      <w:rPr>
        <w:rFonts w:ascii="Courier New" w:hAnsi="Courier New" w:hint="default"/>
        <w:color w:val="000000" w:themeColor="text1"/>
      </w:rPr>
    </w:lvl>
    <w:lvl w:ilvl="2">
      <w:start w:val="1"/>
      <w:numFmt w:val="bullet"/>
      <w:pStyle w:val="ListBullet3"/>
      <w:lvlText w:val="-"/>
      <w:lvlJc w:val="left"/>
      <w:pPr>
        <w:tabs>
          <w:tab w:val="num" w:pos="1440"/>
        </w:tabs>
        <w:ind w:left="1440" w:hanging="363"/>
      </w:pPr>
      <w:rPr>
        <w:rFonts w:ascii="Arial" w:hAnsi="Arial" w:hint="default"/>
      </w:rPr>
    </w:lvl>
    <w:lvl w:ilvl="3">
      <w:start w:val="1"/>
      <w:numFmt w:val="bullet"/>
      <w:lvlText w:val=""/>
      <w:lvlJc w:val="left"/>
      <w:pPr>
        <w:tabs>
          <w:tab w:val="num" w:pos="357"/>
        </w:tabs>
        <w:ind w:left="357" w:hanging="357"/>
      </w:pPr>
      <w:rPr>
        <w:rFonts w:ascii="Symbol" w:hAnsi="Symbol"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4A0445F4"/>
    <w:multiLevelType w:val="multilevel"/>
    <w:tmpl w:val="847C1B66"/>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1"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2" w15:restartNumberingAfterBreak="0">
    <w:nsid w:val="5BAD36AC"/>
    <w:multiLevelType w:val="multilevel"/>
    <w:tmpl w:val="939E800C"/>
    <w:styleLink w:val="dotlist"/>
    <w:lvl w:ilvl="0">
      <w:start w:val="1"/>
      <w:numFmt w:val="none"/>
      <w:lvlText w:val=".  .  .  .  .  .  .  ."/>
      <w:lvlJc w:val="left"/>
      <w:pPr>
        <w:ind w:left="0" w:firstLine="0"/>
      </w:pPr>
      <w:rPr>
        <w:rFonts w:hint="default"/>
        <w:b/>
        <w:i w:val="0"/>
        <w:color w:val="F47920" w:themeColor="background2"/>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C2B2AC4"/>
    <w:multiLevelType w:val="hybridMultilevel"/>
    <w:tmpl w:val="86D8A7C2"/>
    <w:lvl w:ilvl="0" w:tplc="C3BA6BAE">
      <w:start w:val="1"/>
      <w:numFmt w:val="upperLetter"/>
      <w:pStyle w:val="Heading2"/>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E7A437A"/>
    <w:multiLevelType w:val="hybridMultilevel"/>
    <w:tmpl w:val="56649716"/>
    <w:lvl w:ilvl="0" w:tplc="C0E82ECE">
      <w:start w:val="1"/>
      <w:numFmt w:val="decimal"/>
      <w:pStyle w:val="AppendixSubHeading"/>
      <w:lvlText w:val="6.%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7C5347D1"/>
    <w:multiLevelType w:val="multilevel"/>
    <w:tmpl w:val="F1F85864"/>
    <w:styleLink w:val="TableBullet"/>
    <w:lvl w:ilvl="0">
      <w:start w:val="1"/>
      <w:numFmt w:val="bullet"/>
      <w:pStyle w:val="TableBullet1"/>
      <w:lvlText w:val=""/>
      <w:lvlJc w:val="left"/>
      <w:pPr>
        <w:ind w:left="227" w:hanging="227"/>
      </w:pPr>
      <w:rPr>
        <w:rFonts w:ascii="Symbol" w:hAnsi="Symbol" w:hint="default"/>
      </w:rPr>
    </w:lvl>
    <w:lvl w:ilvl="1">
      <w:start w:val="1"/>
      <w:numFmt w:val="bullet"/>
      <w:pStyle w:val="TableBullet2"/>
      <w:lvlText w:val="○"/>
      <w:lvlJc w:val="left"/>
      <w:pPr>
        <w:tabs>
          <w:tab w:val="num" w:pos="227"/>
        </w:tabs>
        <w:ind w:left="454" w:hanging="227"/>
      </w:pPr>
      <w:rPr>
        <w:rFonts w:ascii="Arial" w:hAnsi="Arial"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821845303">
    <w:abstractNumId w:val="10"/>
  </w:num>
  <w:num w:numId="2" w16cid:durableId="1245795159">
    <w:abstractNumId w:val="11"/>
  </w:num>
  <w:num w:numId="3" w16cid:durableId="1014914707">
    <w:abstractNumId w:val="1"/>
  </w:num>
  <w:num w:numId="4" w16cid:durableId="334840001">
    <w:abstractNumId w:val="0"/>
  </w:num>
  <w:num w:numId="5" w16cid:durableId="1705399906">
    <w:abstractNumId w:val="7"/>
  </w:num>
  <w:num w:numId="6" w16cid:durableId="949043347">
    <w:abstractNumId w:val="9"/>
  </w:num>
  <w:num w:numId="7" w16cid:durableId="2003310827">
    <w:abstractNumId w:val="6"/>
  </w:num>
  <w:num w:numId="8" w16cid:durableId="1420786818">
    <w:abstractNumId w:val="8"/>
  </w:num>
  <w:num w:numId="9" w16cid:durableId="780999593">
    <w:abstractNumId w:val="3"/>
    <w:lvlOverride w:ilvl="0">
      <w:lvl w:ilvl="0">
        <w:start w:val="1"/>
        <w:numFmt w:val="upperLetter"/>
        <w:pStyle w:val="AppendixHeading"/>
        <w:suff w:val="space"/>
        <w:lvlText w:val="Appendix %1:"/>
        <w:lvlJc w:val="left"/>
        <w:pPr>
          <w:ind w:left="0" w:firstLine="0"/>
        </w:pPr>
        <w:rPr>
          <w:rFonts w:hint="default"/>
        </w:rPr>
      </w:lvl>
    </w:lvlOverride>
  </w:num>
  <w:num w:numId="10" w16cid:durableId="1845971775">
    <w:abstractNumId w:val="12"/>
  </w:num>
  <w:num w:numId="11" w16cid:durableId="142284882">
    <w:abstractNumId w:val="15"/>
  </w:num>
  <w:num w:numId="12" w16cid:durableId="380400206">
    <w:abstractNumId w:val="15"/>
  </w:num>
  <w:num w:numId="13" w16cid:durableId="1803038216">
    <w:abstractNumId w:val="5"/>
  </w:num>
  <w:num w:numId="14" w16cid:durableId="1072386720">
    <w:abstractNumId w:val="5"/>
  </w:num>
  <w:num w:numId="15" w16cid:durableId="751706734">
    <w:abstractNumId w:val="13"/>
  </w:num>
  <w:num w:numId="16" w16cid:durableId="1250843428">
    <w:abstractNumId w:val="3"/>
  </w:num>
  <w:num w:numId="17" w16cid:durableId="1299383119">
    <w:abstractNumId w:val="2"/>
  </w:num>
  <w:num w:numId="18" w16cid:durableId="1564245768">
    <w:abstractNumId w:val="14"/>
  </w:num>
  <w:num w:numId="19" w16cid:durableId="1541474926">
    <w:abstractNumId w:val="14"/>
  </w:num>
  <w:num w:numId="20" w16cid:durableId="1114514724">
    <w:abstractNumId w:val="14"/>
  </w:num>
  <w:num w:numId="21" w16cid:durableId="1883440229">
    <w:abstractNumId w:val="14"/>
  </w:num>
  <w:num w:numId="22" w16cid:durableId="1034310827">
    <w:abstractNumId w:val="14"/>
  </w:num>
  <w:num w:numId="23" w16cid:durableId="935214976">
    <w:abstractNumId w:val="14"/>
  </w:num>
  <w:num w:numId="24" w16cid:durableId="42992687">
    <w:abstractNumId w:val="14"/>
  </w:num>
  <w:num w:numId="25" w16cid:durableId="1633827826">
    <w:abstractNumId w:val="14"/>
  </w:num>
  <w:num w:numId="26" w16cid:durableId="150803228">
    <w:abstractNumId w:val="14"/>
  </w:num>
  <w:num w:numId="27" w16cid:durableId="1314413747">
    <w:abstractNumId w:val="14"/>
  </w:num>
  <w:num w:numId="28" w16cid:durableId="593126606">
    <w:abstractNumId w:val="14"/>
  </w:num>
  <w:num w:numId="29" w16cid:durableId="898714100">
    <w:abstractNumId w:val="14"/>
  </w:num>
  <w:num w:numId="30" w16cid:durableId="1593708255">
    <w:abstractNumId w:val="14"/>
  </w:num>
  <w:num w:numId="31" w16cid:durableId="1609776266">
    <w:abstractNumId w:val="14"/>
  </w:num>
  <w:num w:numId="32" w16cid:durableId="1366826110">
    <w:abstractNumId w:val="9"/>
  </w:num>
  <w:num w:numId="33" w16cid:durableId="229925476">
    <w:abstractNumId w:val="9"/>
  </w:num>
  <w:num w:numId="34" w16cid:durableId="1376392639">
    <w:abstractNumId w:val="9"/>
  </w:num>
  <w:num w:numId="35" w16cid:durableId="1051736090">
    <w:abstractNumId w:val="9"/>
  </w:num>
  <w:num w:numId="36" w16cid:durableId="1600793902">
    <w:abstractNumId w:val="14"/>
  </w:num>
  <w:num w:numId="37" w16cid:durableId="1751659720">
    <w:abstractNumId w:val="14"/>
  </w:num>
  <w:num w:numId="38" w16cid:durableId="291793157">
    <w:abstractNumId w:val="2"/>
  </w:num>
  <w:num w:numId="39" w16cid:durableId="358118386">
    <w:abstractNumId w:val="2"/>
  </w:num>
  <w:num w:numId="40" w16cid:durableId="9463490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FB6"/>
    <w:rsid w:val="00001122"/>
    <w:rsid w:val="00001227"/>
    <w:rsid w:val="0000231E"/>
    <w:rsid w:val="000035A9"/>
    <w:rsid w:val="00005D98"/>
    <w:rsid w:val="000061EE"/>
    <w:rsid w:val="00006DE3"/>
    <w:rsid w:val="00007C42"/>
    <w:rsid w:val="00007DBC"/>
    <w:rsid w:val="00011C96"/>
    <w:rsid w:val="00012567"/>
    <w:rsid w:val="000141B9"/>
    <w:rsid w:val="00015A3D"/>
    <w:rsid w:val="00015E61"/>
    <w:rsid w:val="00020E6E"/>
    <w:rsid w:val="00022877"/>
    <w:rsid w:val="0002579A"/>
    <w:rsid w:val="000317E6"/>
    <w:rsid w:val="00032310"/>
    <w:rsid w:val="00032767"/>
    <w:rsid w:val="00034A19"/>
    <w:rsid w:val="0003589E"/>
    <w:rsid w:val="00036F9E"/>
    <w:rsid w:val="000413B3"/>
    <w:rsid w:val="000442D2"/>
    <w:rsid w:val="00051509"/>
    <w:rsid w:val="00055C47"/>
    <w:rsid w:val="00057B71"/>
    <w:rsid w:val="00057D77"/>
    <w:rsid w:val="00062C45"/>
    <w:rsid w:val="0006306E"/>
    <w:rsid w:val="0006745C"/>
    <w:rsid w:val="0007098F"/>
    <w:rsid w:val="000709D2"/>
    <w:rsid w:val="00070C9B"/>
    <w:rsid w:val="00070EEB"/>
    <w:rsid w:val="0007185F"/>
    <w:rsid w:val="0007202C"/>
    <w:rsid w:val="0007264C"/>
    <w:rsid w:val="00072B30"/>
    <w:rsid w:val="0007319C"/>
    <w:rsid w:val="000732AA"/>
    <w:rsid w:val="00074962"/>
    <w:rsid w:val="00074ACB"/>
    <w:rsid w:val="00076277"/>
    <w:rsid w:val="000767DD"/>
    <w:rsid w:val="000774DF"/>
    <w:rsid w:val="00084F8B"/>
    <w:rsid w:val="00086D07"/>
    <w:rsid w:val="00086F71"/>
    <w:rsid w:val="00090EE9"/>
    <w:rsid w:val="000915E7"/>
    <w:rsid w:val="000928F7"/>
    <w:rsid w:val="00093915"/>
    <w:rsid w:val="000949AD"/>
    <w:rsid w:val="00095109"/>
    <w:rsid w:val="00096B0F"/>
    <w:rsid w:val="00096B9C"/>
    <w:rsid w:val="00096C77"/>
    <w:rsid w:val="000A4619"/>
    <w:rsid w:val="000A490E"/>
    <w:rsid w:val="000A674C"/>
    <w:rsid w:val="000B04C5"/>
    <w:rsid w:val="000B3DB7"/>
    <w:rsid w:val="000B63CA"/>
    <w:rsid w:val="000B752A"/>
    <w:rsid w:val="000C14D9"/>
    <w:rsid w:val="000C15C7"/>
    <w:rsid w:val="000C1DEB"/>
    <w:rsid w:val="000C2DE3"/>
    <w:rsid w:val="000C3699"/>
    <w:rsid w:val="000C6F00"/>
    <w:rsid w:val="000D34A7"/>
    <w:rsid w:val="000D4EDE"/>
    <w:rsid w:val="000D5F73"/>
    <w:rsid w:val="000D6E3C"/>
    <w:rsid w:val="000D7AA1"/>
    <w:rsid w:val="000E1E1B"/>
    <w:rsid w:val="000E2460"/>
    <w:rsid w:val="000E3B88"/>
    <w:rsid w:val="000E43AC"/>
    <w:rsid w:val="000E5D40"/>
    <w:rsid w:val="000E6A21"/>
    <w:rsid w:val="000F02DB"/>
    <w:rsid w:val="000F1263"/>
    <w:rsid w:val="000F145F"/>
    <w:rsid w:val="000F1CAA"/>
    <w:rsid w:val="000F2AF9"/>
    <w:rsid w:val="000F58E2"/>
    <w:rsid w:val="000F6BEF"/>
    <w:rsid w:val="000F6E25"/>
    <w:rsid w:val="001007E4"/>
    <w:rsid w:val="00103015"/>
    <w:rsid w:val="00104183"/>
    <w:rsid w:val="0010547B"/>
    <w:rsid w:val="001074C2"/>
    <w:rsid w:val="00107EDF"/>
    <w:rsid w:val="001111DC"/>
    <w:rsid w:val="001123E0"/>
    <w:rsid w:val="001137CE"/>
    <w:rsid w:val="00114DEE"/>
    <w:rsid w:val="001170EF"/>
    <w:rsid w:val="001172EB"/>
    <w:rsid w:val="00120DCB"/>
    <w:rsid w:val="001221B2"/>
    <w:rsid w:val="00123576"/>
    <w:rsid w:val="0012408F"/>
    <w:rsid w:val="00124B21"/>
    <w:rsid w:val="001255D2"/>
    <w:rsid w:val="00127446"/>
    <w:rsid w:val="00127FE0"/>
    <w:rsid w:val="001327B8"/>
    <w:rsid w:val="0013471B"/>
    <w:rsid w:val="00134F85"/>
    <w:rsid w:val="001352D4"/>
    <w:rsid w:val="00136E8C"/>
    <w:rsid w:val="00140F65"/>
    <w:rsid w:val="0014151D"/>
    <w:rsid w:val="0014232B"/>
    <w:rsid w:val="00143944"/>
    <w:rsid w:val="001440C0"/>
    <w:rsid w:val="00144963"/>
    <w:rsid w:val="00146273"/>
    <w:rsid w:val="00154B1C"/>
    <w:rsid w:val="00157C98"/>
    <w:rsid w:val="00160043"/>
    <w:rsid w:val="00162740"/>
    <w:rsid w:val="00164CED"/>
    <w:rsid w:val="001653B6"/>
    <w:rsid w:val="001710E5"/>
    <w:rsid w:val="00172B11"/>
    <w:rsid w:val="00173E61"/>
    <w:rsid w:val="00173ECB"/>
    <w:rsid w:val="00174A59"/>
    <w:rsid w:val="00174B0F"/>
    <w:rsid w:val="00175123"/>
    <w:rsid w:val="00177284"/>
    <w:rsid w:val="001779E7"/>
    <w:rsid w:val="00180274"/>
    <w:rsid w:val="0018235E"/>
    <w:rsid w:val="00184EF1"/>
    <w:rsid w:val="001871D8"/>
    <w:rsid w:val="001878F4"/>
    <w:rsid w:val="00187D38"/>
    <w:rsid w:val="00192A12"/>
    <w:rsid w:val="00195127"/>
    <w:rsid w:val="001963A7"/>
    <w:rsid w:val="0019697D"/>
    <w:rsid w:val="001A3B56"/>
    <w:rsid w:val="001A4DCF"/>
    <w:rsid w:val="001A5114"/>
    <w:rsid w:val="001A664F"/>
    <w:rsid w:val="001B2D3F"/>
    <w:rsid w:val="001B2DB7"/>
    <w:rsid w:val="001B4C6C"/>
    <w:rsid w:val="001B52A4"/>
    <w:rsid w:val="001B5539"/>
    <w:rsid w:val="001C2666"/>
    <w:rsid w:val="001C2FA9"/>
    <w:rsid w:val="001C49DF"/>
    <w:rsid w:val="001C4FB6"/>
    <w:rsid w:val="001C6528"/>
    <w:rsid w:val="001C71CB"/>
    <w:rsid w:val="001C771E"/>
    <w:rsid w:val="001D0C02"/>
    <w:rsid w:val="001D0EA5"/>
    <w:rsid w:val="001D1BA8"/>
    <w:rsid w:val="001D5397"/>
    <w:rsid w:val="001D705A"/>
    <w:rsid w:val="001E06DB"/>
    <w:rsid w:val="001E0F51"/>
    <w:rsid w:val="001E143D"/>
    <w:rsid w:val="001E3763"/>
    <w:rsid w:val="001E55BF"/>
    <w:rsid w:val="001E661D"/>
    <w:rsid w:val="001F35A0"/>
    <w:rsid w:val="001F5F28"/>
    <w:rsid w:val="001F68F8"/>
    <w:rsid w:val="001F6E1A"/>
    <w:rsid w:val="001F780A"/>
    <w:rsid w:val="001F7917"/>
    <w:rsid w:val="00200233"/>
    <w:rsid w:val="002003BC"/>
    <w:rsid w:val="00200613"/>
    <w:rsid w:val="0020154C"/>
    <w:rsid w:val="002040A7"/>
    <w:rsid w:val="0021138D"/>
    <w:rsid w:val="0021460E"/>
    <w:rsid w:val="00215269"/>
    <w:rsid w:val="002167CE"/>
    <w:rsid w:val="00220550"/>
    <w:rsid w:val="00221DBF"/>
    <w:rsid w:val="00224ACB"/>
    <w:rsid w:val="002259D9"/>
    <w:rsid w:val="002301A2"/>
    <w:rsid w:val="00232AEF"/>
    <w:rsid w:val="00234DBE"/>
    <w:rsid w:val="00235561"/>
    <w:rsid w:val="00236208"/>
    <w:rsid w:val="002367E2"/>
    <w:rsid w:val="00236C2D"/>
    <w:rsid w:val="002374B7"/>
    <w:rsid w:val="00237A07"/>
    <w:rsid w:val="00240126"/>
    <w:rsid w:val="0024304D"/>
    <w:rsid w:val="002433C0"/>
    <w:rsid w:val="002437E5"/>
    <w:rsid w:val="00244826"/>
    <w:rsid w:val="00245BBE"/>
    <w:rsid w:val="00247698"/>
    <w:rsid w:val="00247ACA"/>
    <w:rsid w:val="00251CD0"/>
    <w:rsid w:val="00252002"/>
    <w:rsid w:val="00252227"/>
    <w:rsid w:val="0025289F"/>
    <w:rsid w:val="00252AD4"/>
    <w:rsid w:val="00252E6A"/>
    <w:rsid w:val="00253BB9"/>
    <w:rsid w:val="002546AD"/>
    <w:rsid w:val="00254B89"/>
    <w:rsid w:val="002574FE"/>
    <w:rsid w:val="0025782A"/>
    <w:rsid w:val="00261D33"/>
    <w:rsid w:val="00262EA0"/>
    <w:rsid w:val="0026302F"/>
    <w:rsid w:val="002638F9"/>
    <w:rsid w:val="002661A6"/>
    <w:rsid w:val="0026662E"/>
    <w:rsid w:val="00266C23"/>
    <w:rsid w:val="002707BF"/>
    <w:rsid w:val="00270A61"/>
    <w:rsid w:val="00270D8F"/>
    <w:rsid w:val="0027148F"/>
    <w:rsid w:val="00273F48"/>
    <w:rsid w:val="0028242F"/>
    <w:rsid w:val="002866AA"/>
    <w:rsid w:val="00286EAD"/>
    <w:rsid w:val="0029389B"/>
    <w:rsid w:val="00294825"/>
    <w:rsid w:val="002A1894"/>
    <w:rsid w:val="002A2188"/>
    <w:rsid w:val="002A2557"/>
    <w:rsid w:val="002A325F"/>
    <w:rsid w:val="002A36F2"/>
    <w:rsid w:val="002A4183"/>
    <w:rsid w:val="002A4827"/>
    <w:rsid w:val="002A7D08"/>
    <w:rsid w:val="002A7D14"/>
    <w:rsid w:val="002B0913"/>
    <w:rsid w:val="002B0B3B"/>
    <w:rsid w:val="002B2641"/>
    <w:rsid w:val="002B28E4"/>
    <w:rsid w:val="002B4DA2"/>
    <w:rsid w:val="002B727E"/>
    <w:rsid w:val="002B7504"/>
    <w:rsid w:val="002C0D97"/>
    <w:rsid w:val="002C1848"/>
    <w:rsid w:val="002C185F"/>
    <w:rsid w:val="002C34E1"/>
    <w:rsid w:val="002C536A"/>
    <w:rsid w:val="002C66D1"/>
    <w:rsid w:val="002C6772"/>
    <w:rsid w:val="002C7065"/>
    <w:rsid w:val="002C7F4A"/>
    <w:rsid w:val="002D02ED"/>
    <w:rsid w:val="002D0E6E"/>
    <w:rsid w:val="002D16A5"/>
    <w:rsid w:val="002D1A0A"/>
    <w:rsid w:val="002D2804"/>
    <w:rsid w:val="002D3548"/>
    <w:rsid w:val="002D412A"/>
    <w:rsid w:val="002D4B6C"/>
    <w:rsid w:val="002D5274"/>
    <w:rsid w:val="002D5B15"/>
    <w:rsid w:val="002E1D65"/>
    <w:rsid w:val="002E684C"/>
    <w:rsid w:val="002E6D2F"/>
    <w:rsid w:val="002E79B7"/>
    <w:rsid w:val="002F04BB"/>
    <w:rsid w:val="002F0C2C"/>
    <w:rsid w:val="002F3B76"/>
    <w:rsid w:val="002F49B4"/>
    <w:rsid w:val="002F59EF"/>
    <w:rsid w:val="002F70C4"/>
    <w:rsid w:val="002F7828"/>
    <w:rsid w:val="00300655"/>
    <w:rsid w:val="003018B0"/>
    <w:rsid w:val="00302700"/>
    <w:rsid w:val="00303D18"/>
    <w:rsid w:val="00304DAE"/>
    <w:rsid w:val="0030556F"/>
    <w:rsid w:val="00306BB8"/>
    <w:rsid w:val="00307ADD"/>
    <w:rsid w:val="00312A66"/>
    <w:rsid w:val="003130CA"/>
    <w:rsid w:val="00315D5B"/>
    <w:rsid w:val="003205C0"/>
    <w:rsid w:val="003205CD"/>
    <w:rsid w:val="003229B5"/>
    <w:rsid w:val="0032435F"/>
    <w:rsid w:val="0033059D"/>
    <w:rsid w:val="00331439"/>
    <w:rsid w:val="00334FCB"/>
    <w:rsid w:val="00337CBC"/>
    <w:rsid w:val="0034357B"/>
    <w:rsid w:val="0034515C"/>
    <w:rsid w:val="00345710"/>
    <w:rsid w:val="00355C9D"/>
    <w:rsid w:val="00360AA8"/>
    <w:rsid w:val="003624C4"/>
    <w:rsid w:val="003635F6"/>
    <w:rsid w:val="00371F54"/>
    <w:rsid w:val="00372C1E"/>
    <w:rsid w:val="00372D46"/>
    <w:rsid w:val="003763F2"/>
    <w:rsid w:val="0037697F"/>
    <w:rsid w:val="00376E73"/>
    <w:rsid w:val="0037770C"/>
    <w:rsid w:val="00377C8B"/>
    <w:rsid w:val="00382BE7"/>
    <w:rsid w:val="00383A95"/>
    <w:rsid w:val="00385CA0"/>
    <w:rsid w:val="00385F6A"/>
    <w:rsid w:val="00390AA9"/>
    <w:rsid w:val="0039151B"/>
    <w:rsid w:val="00392311"/>
    <w:rsid w:val="003A2733"/>
    <w:rsid w:val="003A2A6E"/>
    <w:rsid w:val="003A3021"/>
    <w:rsid w:val="003A3DA7"/>
    <w:rsid w:val="003A627E"/>
    <w:rsid w:val="003A79EE"/>
    <w:rsid w:val="003B32AF"/>
    <w:rsid w:val="003B5CC3"/>
    <w:rsid w:val="003B6E16"/>
    <w:rsid w:val="003C078D"/>
    <w:rsid w:val="003C180A"/>
    <w:rsid w:val="003C1E25"/>
    <w:rsid w:val="003C3053"/>
    <w:rsid w:val="003C6AA3"/>
    <w:rsid w:val="003C73CE"/>
    <w:rsid w:val="003D27CB"/>
    <w:rsid w:val="003D329D"/>
    <w:rsid w:val="003D5D25"/>
    <w:rsid w:val="003D69A1"/>
    <w:rsid w:val="003E0C13"/>
    <w:rsid w:val="003E0C6E"/>
    <w:rsid w:val="003E6BF6"/>
    <w:rsid w:val="003F0F0D"/>
    <w:rsid w:val="003F1C24"/>
    <w:rsid w:val="003F314C"/>
    <w:rsid w:val="003F5012"/>
    <w:rsid w:val="003F747C"/>
    <w:rsid w:val="0040173E"/>
    <w:rsid w:val="00405102"/>
    <w:rsid w:val="004123A8"/>
    <w:rsid w:val="00413275"/>
    <w:rsid w:val="00413529"/>
    <w:rsid w:val="0041409C"/>
    <w:rsid w:val="00414882"/>
    <w:rsid w:val="00416E4B"/>
    <w:rsid w:val="00416EB4"/>
    <w:rsid w:val="00421157"/>
    <w:rsid w:val="00423E09"/>
    <w:rsid w:val="00431DCF"/>
    <w:rsid w:val="004338FF"/>
    <w:rsid w:val="00433A25"/>
    <w:rsid w:val="00435339"/>
    <w:rsid w:val="00437054"/>
    <w:rsid w:val="0044051E"/>
    <w:rsid w:val="00440F17"/>
    <w:rsid w:val="004443A1"/>
    <w:rsid w:val="0044447D"/>
    <w:rsid w:val="0044457F"/>
    <w:rsid w:val="00455DC7"/>
    <w:rsid w:val="004574D9"/>
    <w:rsid w:val="00463597"/>
    <w:rsid w:val="00463FA8"/>
    <w:rsid w:val="00465403"/>
    <w:rsid w:val="00467DD7"/>
    <w:rsid w:val="004709AA"/>
    <w:rsid w:val="0047226E"/>
    <w:rsid w:val="00472ACC"/>
    <w:rsid w:val="00472CBC"/>
    <w:rsid w:val="004803CC"/>
    <w:rsid w:val="00482BA7"/>
    <w:rsid w:val="00483B22"/>
    <w:rsid w:val="00484527"/>
    <w:rsid w:val="00486B78"/>
    <w:rsid w:val="00487C76"/>
    <w:rsid w:val="0049046A"/>
    <w:rsid w:val="00493C94"/>
    <w:rsid w:val="00493DAA"/>
    <w:rsid w:val="00494335"/>
    <w:rsid w:val="00495A4C"/>
    <w:rsid w:val="004967A1"/>
    <w:rsid w:val="00496E5C"/>
    <w:rsid w:val="004A18CB"/>
    <w:rsid w:val="004A295D"/>
    <w:rsid w:val="004A2C7D"/>
    <w:rsid w:val="004A5979"/>
    <w:rsid w:val="004B0309"/>
    <w:rsid w:val="004B0D59"/>
    <w:rsid w:val="004B4553"/>
    <w:rsid w:val="004B4DBB"/>
    <w:rsid w:val="004B584E"/>
    <w:rsid w:val="004B58A0"/>
    <w:rsid w:val="004B5AC0"/>
    <w:rsid w:val="004B6767"/>
    <w:rsid w:val="004B7556"/>
    <w:rsid w:val="004C1106"/>
    <w:rsid w:val="004C4890"/>
    <w:rsid w:val="004C5C54"/>
    <w:rsid w:val="004C6D4B"/>
    <w:rsid w:val="004D0A73"/>
    <w:rsid w:val="004D1C4D"/>
    <w:rsid w:val="004D2889"/>
    <w:rsid w:val="004D6FFB"/>
    <w:rsid w:val="004E1912"/>
    <w:rsid w:val="004E2269"/>
    <w:rsid w:val="004E5577"/>
    <w:rsid w:val="004F06CF"/>
    <w:rsid w:val="004F3339"/>
    <w:rsid w:val="004F3424"/>
    <w:rsid w:val="004F4A36"/>
    <w:rsid w:val="004F5236"/>
    <w:rsid w:val="004F6281"/>
    <w:rsid w:val="004F6D8F"/>
    <w:rsid w:val="004F72A2"/>
    <w:rsid w:val="004F7D48"/>
    <w:rsid w:val="005006C9"/>
    <w:rsid w:val="00501514"/>
    <w:rsid w:val="005026D4"/>
    <w:rsid w:val="00503A51"/>
    <w:rsid w:val="0051199E"/>
    <w:rsid w:val="00512309"/>
    <w:rsid w:val="0051312E"/>
    <w:rsid w:val="005145EB"/>
    <w:rsid w:val="00523E99"/>
    <w:rsid w:val="0052433E"/>
    <w:rsid w:val="00526C8E"/>
    <w:rsid w:val="00526F84"/>
    <w:rsid w:val="00530698"/>
    <w:rsid w:val="00533096"/>
    <w:rsid w:val="005344F1"/>
    <w:rsid w:val="00540B03"/>
    <w:rsid w:val="00542522"/>
    <w:rsid w:val="005432DF"/>
    <w:rsid w:val="0054526E"/>
    <w:rsid w:val="0054736B"/>
    <w:rsid w:val="005476B5"/>
    <w:rsid w:val="00547F9E"/>
    <w:rsid w:val="005526D3"/>
    <w:rsid w:val="005529D1"/>
    <w:rsid w:val="00553147"/>
    <w:rsid w:val="00555268"/>
    <w:rsid w:val="00556584"/>
    <w:rsid w:val="00557834"/>
    <w:rsid w:val="0055796D"/>
    <w:rsid w:val="005602DA"/>
    <w:rsid w:val="005617F5"/>
    <w:rsid w:val="00567098"/>
    <w:rsid w:val="0056786B"/>
    <w:rsid w:val="00573327"/>
    <w:rsid w:val="0057463C"/>
    <w:rsid w:val="00574786"/>
    <w:rsid w:val="00577C4F"/>
    <w:rsid w:val="00581E2C"/>
    <w:rsid w:val="00584197"/>
    <w:rsid w:val="00586003"/>
    <w:rsid w:val="00591743"/>
    <w:rsid w:val="005934DB"/>
    <w:rsid w:val="005942BA"/>
    <w:rsid w:val="005954BD"/>
    <w:rsid w:val="00596949"/>
    <w:rsid w:val="005A12D0"/>
    <w:rsid w:val="005A17F9"/>
    <w:rsid w:val="005A331F"/>
    <w:rsid w:val="005A3F63"/>
    <w:rsid w:val="005A3FBA"/>
    <w:rsid w:val="005A59D0"/>
    <w:rsid w:val="005A5F5A"/>
    <w:rsid w:val="005B073E"/>
    <w:rsid w:val="005B0FAB"/>
    <w:rsid w:val="005B227F"/>
    <w:rsid w:val="005B2449"/>
    <w:rsid w:val="005B3963"/>
    <w:rsid w:val="005B445D"/>
    <w:rsid w:val="005B667C"/>
    <w:rsid w:val="005B6EBC"/>
    <w:rsid w:val="005B7801"/>
    <w:rsid w:val="005C07D4"/>
    <w:rsid w:val="005C0F79"/>
    <w:rsid w:val="005C14AB"/>
    <w:rsid w:val="005C274F"/>
    <w:rsid w:val="005C296A"/>
    <w:rsid w:val="005C36B5"/>
    <w:rsid w:val="005C3936"/>
    <w:rsid w:val="005C4A1D"/>
    <w:rsid w:val="005C5891"/>
    <w:rsid w:val="005C6EA1"/>
    <w:rsid w:val="005D4311"/>
    <w:rsid w:val="005D5280"/>
    <w:rsid w:val="005D5FAE"/>
    <w:rsid w:val="005D631F"/>
    <w:rsid w:val="005D67F9"/>
    <w:rsid w:val="005E128C"/>
    <w:rsid w:val="005E6E78"/>
    <w:rsid w:val="005E7ACF"/>
    <w:rsid w:val="005F0089"/>
    <w:rsid w:val="005F03B5"/>
    <w:rsid w:val="005F1057"/>
    <w:rsid w:val="005F29B7"/>
    <w:rsid w:val="005F4E10"/>
    <w:rsid w:val="005F51C5"/>
    <w:rsid w:val="00602B61"/>
    <w:rsid w:val="006038BC"/>
    <w:rsid w:val="00606EB5"/>
    <w:rsid w:val="006103D5"/>
    <w:rsid w:val="006147D4"/>
    <w:rsid w:val="00616C4F"/>
    <w:rsid w:val="00616FC4"/>
    <w:rsid w:val="006177BB"/>
    <w:rsid w:val="00617FDA"/>
    <w:rsid w:val="0062116F"/>
    <w:rsid w:val="00623138"/>
    <w:rsid w:val="00623A7E"/>
    <w:rsid w:val="00624333"/>
    <w:rsid w:val="00624BBB"/>
    <w:rsid w:val="00624FA1"/>
    <w:rsid w:val="00625E76"/>
    <w:rsid w:val="00625EAE"/>
    <w:rsid w:val="00626087"/>
    <w:rsid w:val="00627023"/>
    <w:rsid w:val="00627094"/>
    <w:rsid w:val="006305F3"/>
    <w:rsid w:val="00631AC4"/>
    <w:rsid w:val="00633288"/>
    <w:rsid w:val="00634E4C"/>
    <w:rsid w:val="00636B8B"/>
    <w:rsid w:val="0064219D"/>
    <w:rsid w:val="006427FE"/>
    <w:rsid w:val="00642AB2"/>
    <w:rsid w:val="00645FDD"/>
    <w:rsid w:val="00647BFC"/>
    <w:rsid w:val="006506C1"/>
    <w:rsid w:val="0065524D"/>
    <w:rsid w:val="00656DD6"/>
    <w:rsid w:val="0065700F"/>
    <w:rsid w:val="0065747A"/>
    <w:rsid w:val="00660B5A"/>
    <w:rsid w:val="00660D04"/>
    <w:rsid w:val="00662ADB"/>
    <w:rsid w:val="00662CE4"/>
    <w:rsid w:val="00664C1B"/>
    <w:rsid w:val="0066674D"/>
    <w:rsid w:val="00666A78"/>
    <w:rsid w:val="006719AC"/>
    <w:rsid w:val="00676A61"/>
    <w:rsid w:val="00676C12"/>
    <w:rsid w:val="00676D49"/>
    <w:rsid w:val="006803D9"/>
    <w:rsid w:val="00681BF1"/>
    <w:rsid w:val="006844FB"/>
    <w:rsid w:val="00687EB8"/>
    <w:rsid w:val="00691A30"/>
    <w:rsid w:val="0069375D"/>
    <w:rsid w:val="0069407C"/>
    <w:rsid w:val="006941FA"/>
    <w:rsid w:val="0069574E"/>
    <w:rsid w:val="00696DA2"/>
    <w:rsid w:val="00697A0E"/>
    <w:rsid w:val="006A0DDA"/>
    <w:rsid w:val="006A1921"/>
    <w:rsid w:val="006A2303"/>
    <w:rsid w:val="006B0967"/>
    <w:rsid w:val="006B41FF"/>
    <w:rsid w:val="006D184A"/>
    <w:rsid w:val="006D2CC6"/>
    <w:rsid w:val="006D689C"/>
    <w:rsid w:val="006E13F7"/>
    <w:rsid w:val="006E3BF4"/>
    <w:rsid w:val="006E4550"/>
    <w:rsid w:val="006F0A77"/>
    <w:rsid w:val="006F145A"/>
    <w:rsid w:val="006F27CB"/>
    <w:rsid w:val="006F359B"/>
    <w:rsid w:val="006F41F6"/>
    <w:rsid w:val="006F5541"/>
    <w:rsid w:val="006F5865"/>
    <w:rsid w:val="006F5FF4"/>
    <w:rsid w:val="00701EC6"/>
    <w:rsid w:val="007029F5"/>
    <w:rsid w:val="00703E8D"/>
    <w:rsid w:val="00704C5D"/>
    <w:rsid w:val="00706179"/>
    <w:rsid w:val="007118EB"/>
    <w:rsid w:val="00713BC7"/>
    <w:rsid w:val="00713CF6"/>
    <w:rsid w:val="00713EB7"/>
    <w:rsid w:val="00714F78"/>
    <w:rsid w:val="007170F7"/>
    <w:rsid w:val="00717F20"/>
    <w:rsid w:val="00722086"/>
    <w:rsid w:val="00723561"/>
    <w:rsid w:val="007253B8"/>
    <w:rsid w:val="00727ACC"/>
    <w:rsid w:val="00730C4D"/>
    <w:rsid w:val="00730EA4"/>
    <w:rsid w:val="00732A3B"/>
    <w:rsid w:val="00733805"/>
    <w:rsid w:val="00734CD4"/>
    <w:rsid w:val="00735712"/>
    <w:rsid w:val="00736E7D"/>
    <w:rsid w:val="007456A1"/>
    <w:rsid w:val="00747791"/>
    <w:rsid w:val="007509A6"/>
    <w:rsid w:val="007523F9"/>
    <w:rsid w:val="0075269F"/>
    <w:rsid w:val="007528D9"/>
    <w:rsid w:val="00753F83"/>
    <w:rsid w:val="007541B0"/>
    <w:rsid w:val="0075469B"/>
    <w:rsid w:val="00755163"/>
    <w:rsid w:val="00756800"/>
    <w:rsid w:val="00756AAB"/>
    <w:rsid w:val="00757F63"/>
    <w:rsid w:val="00760AA7"/>
    <w:rsid w:val="007645AE"/>
    <w:rsid w:val="00764992"/>
    <w:rsid w:val="00775AA0"/>
    <w:rsid w:val="0077657C"/>
    <w:rsid w:val="007770FA"/>
    <w:rsid w:val="0078038E"/>
    <w:rsid w:val="00780B3C"/>
    <w:rsid w:val="00781061"/>
    <w:rsid w:val="007812BF"/>
    <w:rsid w:val="00781965"/>
    <w:rsid w:val="00782DF2"/>
    <w:rsid w:val="00785C83"/>
    <w:rsid w:val="0078757D"/>
    <w:rsid w:val="00791738"/>
    <w:rsid w:val="00791780"/>
    <w:rsid w:val="00794737"/>
    <w:rsid w:val="00795095"/>
    <w:rsid w:val="00795D72"/>
    <w:rsid w:val="007A0EB7"/>
    <w:rsid w:val="007A24C6"/>
    <w:rsid w:val="007A4CA2"/>
    <w:rsid w:val="007B16A6"/>
    <w:rsid w:val="007B540E"/>
    <w:rsid w:val="007B59F5"/>
    <w:rsid w:val="007B5A52"/>
    <w:rsid w:val="007C08B1"/>
    <w:rsid w:val="007C1E55"/>
    <w:rsid w:val="007C2CC2"/>
    <w:rsid w:val="007C2F35"/>
    <w:rsid w:val="007C3237"/>
    <w:rsid w:val="007C3854"/>
    <w:rsid w:val="007C38BD"/>
    <w:rsid w:val="007C4AE3"/>
    <w:rsid w:val="007C79AA"/>
    <w:rsid w:val="007D31DA"/>
    <w:rsid w:val="007D3BDA"/>
    <w:rsid w:val="007D43FC"/>
    <w:rsid w:val="007D72C5"/>
    <w:rsid w:val="007E0371"/>
    <w:rsid w:val="007E525D"/>
    <w:rsid w:val="007E650C"/>
    <w:rsid w:val="007F0323"/>
    <w:rsid w:val="007F13E6"/>
    <w:rsid w:val="007F223F"/>
    <w:rsid w:val="007F2E09"/>
    <w:rsid w:val="007F379E"/>
    <w:rsid w:val="007F471C"/>
    <w:rsid w:val="007F56B0"/>
    <w:rsid w:val="00800C90"/>
    <w:rsid w:val="008011C5"/>
    <w:rsid w:val="0080367F"/>
    <w:rsid w:val="00804725"/>
    <w:rsid w:val="00804F63"/>
    <w:rsid w:val="008052BB"/>
    <w:rsid w:val="00805669"/>
    <w:rsid w:val="008125F8"/>
    <w:rsid w:val="00813F09"/>
    <w:rsid w:val="008143EB"/>
    <w:rsid w:val="00817B89"/>
    <w:rsid w:val="00817CC9"/>
    <w:rsid w:val="008236D8"/>
    <w:rsid w:val="0083113D"/>
    <w:rsid w:val="0083185E"/>
    <w:rsid w:val="00836013"/>
    <w:rsid w:val="00837AD8"/>
    <w:rsid w:val="008411FC"/>
    <w:rsid w:val="00842D6C"/>
    <w:rsid w:val="00843AEE"/>
    <w:rsid w:val="00843AFB"/>
    <w:rsid w:val="008442BC"/>
    <w:rsid w:val="00844B1D"/>
    <w:rsid w:val="00844F5C"/>
    <w:rsid w:val="00845843"/>
    <w:rsid w:val="00846D34"/>
    <w:rsid w:val="008475EC"/>
    <w:rsid w:val="00850C75"/>
    <w:rsid w:val="00854FDF"/>
    <w:rsid w:val="00855397"/>
    <w:rsid w:val="00860BD3"/>
    <w:rsid w:val="008637EC"/>
    <w:rsid w:val="0086592A"/>
    <w:rsid w:val="00867095"/>
    <w:rsid w:val="00867871"/>
    <w:rsid w:val="00870BC6"/>
    <w:rsid w:val="00873CF8"/>
    <w:rsid w:val="00873F50"/>
    <w:rsid w:val="00875E84"/>
    <w:rsid w:val="00877100"/>
    <w:rsid w:val="0088036D"/>
    <w:rsid w:val="008806FD"/>
    <w:rsid w:val="00881155"/>
    <w:rsid w:val="00882892"/>
    <w:rsid w:val="008834BE"/>
    <w:rsid w:val="00885A14"/>
    <w:rsid w:val="0088689B"/>
    <w:rsid w:val="00890FA0"/>
    <w:rsid w:val="008937CB"/>
    <w:rsid w:val="008947BF"/>
    <w:rsid w:val="008A214D"/>
    <w:rsid w:val="008A3EB7"/>
    <w:rsid w:val="008A529E"/>
    <w:rsid w:val="008A5321"/>
    <w:rsid w:val="008A5926"/>
    <w:rsid w:val="008A72D2"/>
    <w:rsid w:val="008A74A3"/>
    <w:rsid w:val="008A7627"/>
    <w:rsid w:val="008B2BE9"/>
    <w:rsid w:val="008B6868"/>
    <w:rsid w:val="008B6D24"/>
    <w:rsid w:val="008C17B8"/>
    <w:rsid w:val="008C6228"/>
    <w:rsid w:val="008C66C9"/>
    <w:rsid w:val="008C6A43"/>
    <w:rsid w:val="008C6BE9"/>
    <w:rsid w:val="008D080C"/>
    <w:rsid w:val="008D15C7"/>
    <w:rsid w:val="008D1F03"/>
    <w:rsid w:val="008D472D"/>
    <w:rsid w:val="008D4D84"/>
    <w:rsid w:val="008D6437"/>
    <w:rsid w:val="008D6EDF"/>
    <w:rsid w:val="008E07EE"/>
    <w:rsid w:val="008E3EF5"/>
    <w:rsid w:val="008E7C33"/>
    <w:rsid w:val="008F14B6"/>
    <w:rsid w:val="008F33B5"/>
    <w:rsid w:val="00901C53"/>
    <w:rsid w:val="00905707"/>
    <w:rsid w:val="00905C58"/>
    <w:rsid w:val="00906799"/>
    <w:rsid w:val="00912C83"/>
    <w:rsid w:val="00915C11"/>
    <w:rsid w:val="009169FF"/>
    <w:rsid w:val="00917116"/>
    <w:rsid w:val="009201A1"/>
    <w:rsid w:val="00922193"/>
    <w:rsid w:val="00922A98"/>
    <w:rsid w:val="00924152"/>
    <w:rsid w:val="009263CD"/>
    <w:rsid w:val="00927DC9"/>
    <w:rsid w:val="00927DF1"/>
    <w:rsid w:val="009303D7"/>
    <w:rsid w:val="009303DC"/>
    <w:rsid w:val="0093194D"/>
    <w:rsid w:val="00932A80"/>
    <w:rsid w:val="00934C3F"/>
    <w:rsid w:val="0093718A"/>
    <w:rsid w:val="0094000D"/>
    <w:rsid w:val="009406D2"/>
    <w:rsid w:val="009417AE"/>
    <w:rsid w:val="00941EC1"/>
    <w:rsid w:val="00945B3F"/>
    <w:rsid w:val="00950DCB"/>
    <w:rsid w:val="0095165C"/>
    <w:rsid w:val="00951E72"/>
    <w:rsid w:val="00951E75"/>
    <w:rsid w:val="00952D4C"/>
    <w:rsid w:val="00960246"/>
    <w:rsid w:val="00961041"/>
    <w:rsid w:val="009618A0"/>
    <w:rsid w:val="00964B90"/>
    <w:rsid w:val="009709B1"/>
    <w:rsid w:val="009712CE"/>
    <w:rsid w:val="009720E1"/>
    <w:rsid w:val="00974F0E"/>
    <w:rsid w:val="00975CD7"/>
    <w:rsid w:val="00975EF2"/>
    <w:rsid w:val="00976F39"/>
    <w:rsid w:val="009807B1"/>
    <w:rsid w:val="009808F3"/>
    <w:rsid w:val="00985E70"/>
    <w:rsid w:val="00986236"/>
    <w:rsid w:val="009862BC"/>
    <w:rsid w:val="0099340B"/>
    <w:rsid w:val="009979F4"/>
    <w:rsid w:val="009A39DF"/>
    <w:rsid w:val="009A45B2"/>
    <w:rsid w:val="009A5585"/>
    <w:rsid w:val="009A59D5"/>
    <w:rsid w:val="009B37E0"/>
    <w:rsid w:val="009B47EE"/>
    <w:rsid w:val="009C117D"/>
    <w:rsid w:val="009C2953"/>
    <w:rsid w:val="009C2A2E"/>
    <w:rsid w:val="009C3640"/>
    <w:rsid w:val="009C424F"/>
    <w:rsid w:val="009C51A2"/>
    <w:rsid w:val="009D13A6"/>
    <w:rsid w:val="009D2DDD"/>
    <w:rsid w:val="009D3B1C"/>
    <w:rsid w:val="009E26A5"/>
    <w:rsid w:val="009E320B"/>
    <w:rsid w:val="009E3E06"/>
    <w:rsid w:val="009E5D34"/>
    <w:rsid w:val="009E7E08"/>
    <w:rsid w:val="009F010A"/>
    <w:rsid w:val="009F7A5E"/>
    <w:rsid w:val="00A00BE3"/>
    <w:rsid w:val="00A020BA"/>
    <w:rsid w:val="00A04470"/>
    <w:rsid w:val="00A07854"/>
    <w:rsid w:val="00A10348"/>
    <w:rsid w:val="00A10DA6"/>
    <w:rsid w:val="00A1167F"/>
    <w:rsid w:val="00A122EA"/>
    <w:rsid w:val="00A127EB"/>
    <w:rsid w:val="00A151E9"/>
    <w:rsid w:val="00A15DBB"/>
    <w:rsid w:val="00A21A59"/>
    <w:rsid w:val="00A22954"/>
    <w:rsid w:val="00A24F0F"/>
    <w:rsid w:val="00A259F2"/>
    <w:rsid w:val="00A2682A"/>
    <w:rsid w:val="00A27D7B"/>
    <w:rsid w:val="00A33802"/>
    <w:rsid w:val="00A3399B"/>
    <w:rsid w:val="00A37162"/>
    <w:rsid w:val="00A37E51"/>
    <w:rsid w:val="00A4029F"/>
    <w:rsid w:val="00A41749"/>
    <w:rsid w:val="00A42ECE"/>
    <w:rsid w:val="00A430D7"/>
    <w:rsid w:val="00A43282"/>
    <w:rsid w:val="00A53690"/>
    <w:rsid w:val="00A54A9E"/>
    <w:rsid w:val="00A5547A"/>
    <w:rsid w:val="00A62D31"/>
    <w:rsid w:val="00A63380"/>
    <w:rsid w:val="00A65C88"/>
    <w:rsid w:val="00A66201"/>
    <w:rsid w:val="00A6765A"/>
    <w:rsid w:val="00A71FD4"/>
    <w:rsid w:val="00A730BE"/>
    <w:rsid w:val="00A73AE1"/>
    <w:rsid w:val="00A75639"/>
    <w:rsid w:val="00A77711"/>
    <w:rsid w:val="00A80BC1"/>
    <w:rsid w:val="00A81BA1"/>
    <w:rsid w:val="00A846C3"/>
    <w:rsid w:val="00A85B24"/>
    <w:rsid w:val="00A865C7"/>
    <w:rsid w:val="00A86BCC"/>
    <w:rsid w:val="00A86E67"/>
    <w:rsid w:val="00A87A0A"/>
    <w:rsid w:val="00A94A74"/>
    <w:rsid w:val="00A95165"/>
    <w:rsid w:val="00A95458"/>
    <w:rsid w:val="00A97E3B"/>
    <w:rsid w:val="00A97EA1"/>
    <w:rsid w:val="00AA17BF"/>
    <w:rsid w:val="00AA1B50"/>
    <w:rsid w:val="00AA20A1"/>
    <w:rsid w:val="00AA41F2"/>
    <w:rsid w:val="00AB00ED"/>
    <w:rsid w:val="00AB039E"/>
    <w:rsid w:val="00AB0788"/>
    <w:rsid w:val="00AB18E3"/>
    <w:rsid w:val="00AB1E98"/>
    <w:rsid w:val="00AB2926"/>
    <w:rsid w:val="00AB32E5"/>
    <w:rsid w:val="00AB4206"/>
    <w:rsid w:val="00AB50C5"/>
    <w:rsid w:val="00AB5165"/>
    <w:rsid w:val="00AB7B23"/>
    <w:rsid w:val="00AC0177"/>
    <w:rsid w:val="00AC0DF6"/>
    <w:rsid w:val="00AC1EE8"/>
    <w:rsid w:val="00AC3F11"/>
    <w:rsid w:val="00AC4B70"/>
    <w:rsid w:val="00AC5DD6"/>
    <w:rsid w:val="00AC7E54"/>
    <w:rsid w:val="00AD1124"/>
    <w:rsid w:val="00AD1DE0"/>
    <w:rsid w:val="00AD5D67"/>
    <w:rsid w:val="00AE656E"/>
    <w:rsid w:val="00AE6A4E"/>
    <w:rsid w:val="00AE7B98"/>
    <w:rsid w:val="00AF129F"/>
    <w:rsid w:val="00AF3161"/>
    <w:rsid w:val="00AF51A0"/>
    <w:rsid w:val="00AF73E7"/>
    <w:rsid w:val="00B01DE5"/>
    <w:rsid w:val="00B05F36"/>
    <w:rsid w:val="00B12DC9"/>
    <w:rsid w:val="00B13F84"/>
    <w:rsid w:val="00B14604"/>
    <w:rsid w:val="00B15ABA"/>
    <w:rsid w:val="00B16189"/>
    <w:rsid w:val="00B1735C"/>
    <w:rsid w:val="00B2137E"/>
    <w:rsid w:val="00B21D34"/>
    <w:rsid w:val="00B23121"/>
    <w:rsid w:val="00B24264"/>
    <w:rsid w:val="00B34339"/>
    <w:rsid w:val="00B414E1"/>
    <w:rsid w:val="00B42B2F"/>
    <w:rsid w:val="00B44900"/>
    <w:rsid w:val="00B45478"/>
    <w:rsid w:val="00B472E1"/>
    <w:rsid w:val="00B502F6"/>
    <w:rsid w:val="00B52821"/>
    <w:rsid w:val="00B5286C"/>
    <w:rsid w:val="00B548D8"/>
    <w:rsid w:val="00B56251"/>
    <w:rsid w:val="00B6102E"/>
    <w:rsid w:val="00B647F9"/>
    <w:rsid w:val="00B66BC1"/>
    <w:rsid w:val="00B71170"/>
    <w:rsid w:val="00B71DF0"/>
    <w:rsid w:val="00B80152"/>
    <w:rsid w:val="00B80BCE"/>
    <w:rsid w:val="00B81524"/>
    <w:rsid w:val="00B81740"/>
    <w:rsid w:val="00B81CD3"/>
    <w:rsid w:val="00B81CE2"/>
    <w:rsid w:val="00B829E3"/>
    <w:rsid w:val="00B85464"/>
    <w:rsid w:val="00B85D7B"/>
    <w:rsid w:val="00B900EA"/>
    <w:rsid w:val="00B9067C"/>
    <w:rsid w:val="00B91069"/>
    <w:rsid w:val="00B92180"/>
    <w:rsid w:val="00B92842"/>
    <w:rsid w:val="00B9374B"/>
    <w:rsid w:val="00B95D03"/>
    <w:rsid w:val="00B95D63"/>
    <w:rsid w:val="00B9601A"/>
    <w:rsid w:val="00BA2513"/>
    <w:rsid w:val="00BA2713"/>
    <w:rsid w:val="00BA2941"/>
    <w:rsid w:val="00BA3538"/>
    <w:rsid w:val="00BA4C61"/>
    <w:rsid w:val="00BA627A"/>
    <w:rsid w:val="00BB1985"/>
    <w:rsid w:val="00BB22FA"/>
    <w:rsid w:val="00BB5D21"/>
    <w:rsid w:val="00BB6A5B"/>
    <w:rsid w:val="00BC48EA"/>
    <w:rsid w:val="00BC68BB"/>
    <w:rsid w:val="00BC6D69"/>
    <w:rsid w:val="00BC7E77"/>
    <w:rsid w:val="00BD12A1"/>
    <w:rsid w:val="00BD4115"/>
    <w:rsid w:val="00BD6525"/>
    <w:rsid w:val="00BD7207"/>
    <w:rsid w:val="00BD7B83"/>
    <w:rsid w:val="00BE193D"/>
    <w:rsid w:val="00BE1DA1"/>
    <w:rsid w:val="00BE3A4C"/>
    <w:rsid w:val="00BE3AA7"/>
    <w:rsid w:val="00BE6F14"/>
    <w:rsid w:val="00BE736C"/>
    <w:rsid w:val="00BF17C6"/>
    <w:rsid w:val="00BF27B6"/>
    <w:rsid w:val="00BF49A0"/>
    <w:rsid w:val="00C00FDA"/>
    <w:rsid w:val="00C016A0"/>
    <w:rsid w:val="00C02EB9"/>
    <w:rsid w:val="00C0380E"/>
    <w:rsid w:val="00C04E4B"/>
    <w:rsid w:val="00C11373"/>
    <w:rsid w:val="00C11B56"/>
    <w:rsid w:val="00C16045"/>
    <w:rsid w:val="00C177CC"/>
    <w:rsid w:val="00C21E27"/>
    <w:rsid w:val="00C22039"/>
    <w:rsid w:val="00C251CF"/>
    <w:rsid w:val="00C268C7"/>
    <w:rsid w:val="00C30063"/>
    <w:rsid w:val="00C3009B"/>
    <w:rsid w:val="00C30B79"/>
    <w:rsid w:val="00C30D8F"/>
    <w:rsid w:val="00C40621"/>
    <w:rsid w:val="00C40B83"/>
    <w:rsid w:val="00C52E86"/>
    <w:rsid w:val="00C565D8"/>
    <w:rsid w:val="00C607A8"/>
    <w:rsid w:val="00C62BF5"/>
    <w:rsid w:val="00C62D97"/>
    <w:rsid w:val="00C636DA"/>
    <w:rsid w:val="00C63ADF"/>
    <w:rsid w:val="00C67ABE"/>
    <w:rsid w:val="00C67E22"/>
    <w:rsid w:val="00C703AA"/>
    <w:rsid w:val="00C72271"/>
    <w:rsid w:val="00C7285F"/>
    <w:rsid w:val="00C74905"/>
    <w:rsid w:val="00C749EC"/>
    <w:rsid w:val="00C7527F"/>
    <w:rsid w:val="00C81356"/>
    <w:rsid w:val="00C85060"/>
    <w:rsid w:val="00C868C3"/>
    <w:rsid w:val="00C878E8"/>
    <w:rsid w:val="00C87DA0"/>
    <w:rsid w:val="00C95493"/>
    <w:rsid w:val="00C963F7"/>
    <w:rsid w:val="00CA0528"/>
    <w:rsid w:val="00CA24FE"/>
    <w:rsid w:val="00CA445B"/>
    <w:rsid w:val="00CA6FF9"/>
    <w:rsid w:val="00CA7B11"/>
    <w:rsid w:val="00CA7E07"/>
    <w:rsid w:val="00CB2A9D"/>
    <w:rsid w:val="00CB4238"/>
    <w:rsid w:val="00CB4CCC"/>
    <w:rsid w:val="00CB5938"/>
    <w:rsid w:val="00CB6839"/>
    <w:rsid w:val="00CC0463"/>
    <w:rsid w:val="00CC12DB"/>
    <w:rsid w:val="00CC1A64"/>
    <w:rsid w:val="00CC23C5"/>
    <w:rsid w:val="00CC32FD"/>
    <w:rsid w:val="00CC333D"/>
    <w:rsid w:val="00CC34EB"/>
    <w:rsid w:val="00CC3A73"/>
    <w:rsid w:val="00CC43EC"/>
    <w:rsid w:val="00CC4BB1"/>
    <w:rsid w:val="00CC5EB2"/>
    <w:rsid w:val="00CC66EA"/>
    <w:rsid w:val="00CD0505"/>
    <w:rsid w:val="00CD1CDD"/>
    <w:rsid w:val="00CD273B"/>
    <w:rsid w:val="00CD3AB0"/>
    <w:rsid w:val="00CD3BF4"/>
    <w:rsid w:val="00CD3C17"/>
    <w:rsid w:val="00CD70CF"/>
    <w:rsid w:val="00CD71E0"/>
    <w:rsid w:val="00CD7DE5"/>
    <w:rsid w:val="00CE1CB7"/>
    <w:rsid w:val="00CE1F9C"/>
    <w:rsid w:val="00CE2E48"/>
    <w:rsid w:val="00CF3C0C"/>
    <w:rsid w:val="00CF5E2A"/>
    <w:rsid w:val="00CF6672"/>
    <w:rsid w:val="00D01D37"/>
    <w:rsid w:val="00D021F7"/>
    <w:rsid w:val="00D048B6"/>
    <w:rsid w:val="00D05574"/>
    <w:rsid w:val="00D0696D"/>
    <w:rsid w:val="00D069C7"/>
    <w:rsid w:val="00D078A2"/>
    <w:rsid w:val="00D11CAC"/>
    <w:rsid w:val="00D17169"/>
    <w:rsid w:val="00D17F1F"/>
    <w:rsid w:val="00D204FA"/>
    <w:rsid w:val="00D209E0"/>
    <w:rsid w:val="00D21123"/>
    <w:rsid w:val="00D2205D"/>
    <w:rsid w:val="00D235CF"/>
    <w:rsid w:val="00D24079"/>
    <w:rsid w:val="00D26BB7"/>
    <w:rsid w:val="00D33875"/>
    <w:rsid w:val="00D35360"/>
    <w:rsid w:val="00D367EB"/>
    <w:rsid w:val="00D37677"/>
    <w:rsid w:val="00D40A7B"/>
    <w:rsid w:val="00D431AA"/>
    <w:rsid w:val="00D45954"/>
    <w:rsid w:val="00D461C2"/>
    <w:rsid w:val="00D469AC"/>
    <w:rsid w:val="00D472BD"/>
    <w:rsid w:val="00D5017D"/>
    <w:rsid w:val="00D52F43"/>
    <w:rsid w:val="00D555B2"/>
    <w:rsid w:val="00D57C64"/>
    <w:rsid w:val="00D61AAE"/>
    <w:rsid w:val="00D6285C"/>
    <w:rsid w:val="00D63663"/>
    <w:rsid w:val="00D6440C"/>
    <w:rsid w:val="00D64CB8"/>
    <w:rsid w:val="00D67E59"/>
    <w:rsid w:val="00D71312"/>
    <w:rsid w:val="00D72339"/>
    <w:rsid w:val="00D72FD8"/>
    <w:rsid w:val="00D733B6"/>
    <w:rsid w:val="00D73C43"/>
    <w:rsid w:val="00D74B93"/>
    <w:rsid w:val="00D80E62"/>
    <w:rsid w:val="00D81453"/>
    <w:rsid w:val="00D83FD7"/>
    <w:rsid w:val="00D85C4D"/>
    <w:rsid w:val="00D87053"/>
    <w:rsid w:val="00D9023E"/>
    <w:rsid w:val="00D90AF9"/>
    <w:rsid w:val="00D9138B"/>
    <w:rsid w:val="00D9163F"/>
    <w:rsid w:val="00D9223B"/>
    <w:rsid w:val="00D9697A"/>
    <w:rsid w:val="00D9789F"/>
    <w:rsid w:val="00DA1715"/>
    <w:rsid w:val="00DA27B1"/>
    <w:rsid w:val="00DA2CB3"/>
    <w:rsid w:val="00DA2F99"/>
    <w:rsid w:val="00DA4C48"/>
    <w:rsid w:val="00DA61B8"/>
    <w:rsid w:val="00DA6A9B"/>
    <w:rsid w:val="00DA727D"/>
    <w:rsid w:val="00DB160E"/>
    <w:rsid w:val="00DB53A7"/>
    <w:rsid w:val="00DB7033"/>
    <w:rsid w:val="00DB7538"/>
    <w:rsid w:val="00DC180C"/>
    <w:rsid w:val="00DC3020"/>
    <w:rsid w:val="00DC31EF"/>
    <w:rsid w:val="00DC6DF8"/>
    <w:rsid w:val="00DD170F"/>
    <w:rsid w:val="00DD2D78"/>
    <w:rsid w:val="00DD5468"/>
    <w:rsid w:val="00DE0A8A"/>
    <w:rsid w:val="00DE2E35"/>
    <w:rsid w:val="00DF0EE6"/>
    <w:rsid w:val="00DF6E54"/>
    <w:rsid w:val="00DF7F29"/>
    <w:rsid w:val="00E00DCC"/>
    <w:rsid w:val="00E04228"/>
    <w:rsid w:val="00E04457"/>
    <w:rsid w:val="00E04BBC"/>
    <w:rsid w:val="00E06D62"/>
    <w:rsid w:val="00E0757E"/>
    <w:rsid w:val="00E10450"/>
    <w:rsid w:val="00E1478E"/>
    <w:rsid w:val="00E159D7"/>
    <w:rsid w:val="00E206F9"/>
    <w:rsid w:val="00E21653"/>
    <w:rsid w:val="00E23DE6"/>
    <w:rsid w:val="00E2414E"/>
    <w:rsid w:val="00E25957"/>
    <w:rsid w:val="00E26635"/>
    <w:rsid w:val="00E26830"/>
    <w:rsid w:val="00E3187B"/>
    <w:rsid w:val="00E31FC6"/>
    <w:rsid w:val="00E33033"/>
    <w:rsid w:val="00E3444A"/>
    <w:rsid w:val="00E35202"/>
    <w:rsid w:val="00E40B36"/>
    <w:rsid w:val="00E4283B"/>
    <w:rsid w:val="00E46998"/>
    <w:rsid w:val="00E50B4F"/>
    <w:rsid w:val="00E51055"/>
    <w:rsid w:val="00E51672"/>
    <w:rsid w:val="00E51D10"/>
    <w:rsid w:val="00E5406F"/>
    <w:rsid w:val="00E54EAB"/>
    <w:rsid w:val="00E55EE5"/>
    <w:rsid w:val="00E563C2"/>
    <w:rsid w:val="00E61EA2"/>
    <w:rsid w:val="00E625B3"/>
    <w:rsid w:val="00E64743"/>
    <w:rsid w:val="00E66F21"/>
    <w:rsid w:val="00E7257D"/>
    <w:rsid w:val="00E728CB"/>
    <w:rsid w:val="00E7336F"/>
    <w:rsid w:val="00E76262"/>
    <w:rsid w:val="00E76417"/>
    <w:rsid w:val="00E77C36"/>
    <w:rsid w:val="00E80813"/>
    <w:rsid w:val="00E83B49"/>
    <w:rsid w:val="00E83DBB"/>
    <w:rsid w:val="00E84A6B"/>
    <w:rsid w:val="00E84C5E"/>
    <w:rsid w:val="00E8690D"/>
    <w:rsid w:val="00E905F8"/>
    <w:rsid w:val="00E92385"/>
    <w:rsid w:val="00E96DEA"/>
    <w:rsid w:val="00E97686"/>
    <w:rsid w:val="00E97D91"/>
    <w:rsid w:val="00EA1585"/>
    <w:rsid w:val="00EA2D27"/>
    <w:rsid w:val="00EA48AE"/>
    <w:rsid w:val="00EA5D67"/>
    <w:rsid w:val="00EA662C"/>
    <w:rsid w:val="00EB09E2"/>
    <w:rsid w:val="00EB17C5"/>
    <w:rsid w:val="00EB20AD"/>
    <w:rsid w:val="00EB22DC"/>
    <w:rsid w:val="00EB3D9D"/>
    <w:rsid w:val="00EB6484"/>
    <w:rsid w:val="00EB70AA"/>
    <w:rsid w:val="00EB74A5"/>
    <w:rsid w:val="00EB7DEA"/>
    <w:rsid w:val="00EC0DDF"/>
    <w:rsid w:val="00EC13BC"/>
    <w:rsid w:val="00EC18E4"/>
    <w:rsid w:val="00EC3BED"/>
    <w:rsid w:val="00EC66A3"/>
    <w:rsid w:val="00ED1E5B"/>
    <w:rsid w:val="00ED6205"/>
    <w:rsid w:val="00EE0126"/>
    <w:rsid w:val="00EE10AA"/>
    <w:rsid w:val="00EE3A27"/>
    <w:rsid w:val="00EE6797"/>
    <w:rsid w:val="00EE71B9"/>
    <w:rsid w:val="00EE7BDE"/>
    <w:rsid w:val="00EF0BD9"/>
    <w:rsid w:val="00EF153A"/>
    <w:rsid w:val="00EF185B"/>
    <w:rsid w:val="00EF2A15"/>
    <w:rsid w:val="00EF3242"/>
    <w:rsid w:val="00EF3F54"/>
    <w:rsid w:val="00EF5A68"/>
    <w:rsid w:val="00EF5BFD"/>
    <w:rsid w:val="00EF6111"/>
    <w:rsid w:val="00EF6D4B"/>
    <w:rsid w:val="00F017B5"/>
    <w:rsid w:val="00F0199E"/>
    <w:rsid w:val="00F01B67"/>
    <w:rsid w:val="00F01C6F"/>
    <w:rsid w:val="00F02612"/>
    <w:rsid w:val="00F04422"/>
    <w:rsid w:val="00F0643C"/>
    <w:rsid w:val="00F06EE2"/>
    <w:rsid w:val="00F074DC"/>
    <w:rsid w:val="00F13B1B"/>
    <w:rsid w:val="00F13B33"/>
    <w:rsid w:val="00F15646"/>
    <w:rsid w:val="00F15DBD"/>
    <w:rsid w:val="00F16253"/>
    <w:rsid w:val="00F206CF"/>
    <w:rsid w:val="00F21474"/>
    <w:rsid w:val="00F21AD2"/>
    <w:rsid w:val="00F22709"/>
    <w:rsid w:val="00F24B7B"/>
    <w:rsid w:val="00F24F8F"/>
    <w:rsid w:val="00F25783"/>
    <w:rsid w:val="00F2760D"/>
    <w:rsid w:val="00F307E0"/>
    <w:rsid w:val="00F34D63"/>
    <w:rsid w:val="00F35D4E"/>
    <w:rsid w:val="00F4229B"/>
    <w:rsid w:val="00F42F8B"/>
    <w:rsid w:val="00F46BCB"/>
    <w:rsid w:val="00F507EE"/>
    <w:rsid w:val="00F53AAD"/>
    <w:rsid w:val="00F553CB"/>
    <w:rsid w:val="00F57F7A"/>
    <w:rsid w:val="00F60D48"/>
    <w:rsid w:val="00F61010"/>
    <w:rsid w:val="00F62D33"/>
    <w:rsid w:val="00F634F9"/>
    <w:rsid w:val="00F6570B"/>
    <w:rsid w:val="00F67615"/>
    <w:rsid w:val="00F719B4"/>
    <w:rsid w:val="00F7308A"/>
    <w:rsid w:val="00F7415D"/>
    <w:rsid w:val="00F76C98"/>
    <w:rsid w:val="00F804CD"/>
    <w:rsid w:val="00F80750"/>
    <w:rsid w:val="00F820B1"/>
    <w:rsid w:val="00F82202"/>
    <w:rsid w:val="00F830F9"/>
    <w:rsid w:val="00F84689"/>
    <w:rsid w:val="00F85F59"/>
    <w:rsid w:val="00F86717"/>
    <w:rsid w:val="00F86DD4"/>
    <w:rsid w:val="00F93C21"/>
    <w:rsid w:val="00F9583C"/>
    <w:rsid w:val="00FA3CEC"/>
    <w:rsid w:val="00FA44CF"/>
    <w:rsid w:val="00FA476C"/>
    <w:rsid w:val="00FB3147"/>
    <w:rsid w:val="00FB4CF2"/>
    <w:rsid w:val="00FB5527"/>
    <w:rsid w:val="00FB6409"/>
    <w:rsid w:val="00FB67A8"/>
    <w:rsid w:val="00FC1994"/>
    <w:rsid w:val="00FC4845"/>
    <w:rsid w:val="00FC6B03"/>
    <w:rsid w:val="00FC7A61"/>
    <w:rsid w:val="00FC7F67"/>
    <w:rsid w:val="00FD06D5"/>
    <w:rsid w:val="00FD0EB1"/>
    <w:rsid w:val="00FD6A5C"/>
    <w:rsid w:val="00FD79BB"/>
    <w:rsid w:val="00FE11A3"/>
    <w:rsid w:val="00FE3BBB"/>
    <w:rsid w:val="00FE419E"/>
    <w:rsid w:val="00FE4C40"/>
    <w:rsid w:val="00FF19A5"/>
    <w:rsid w:val="00FF2484"/>
    <w:rsid w:val="00FF25E7"/>
    <w:rsid w:val="00FF41AF"/>
    <w:rsid w:val="00FF6372"/>
    <w:rsid w:val="00FF71B8"/>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3268D"/>
  <w15:docId w15:val="{44CF494B-BB6E-439C-86F1-20A9A8253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eelawadee UI Semilight" w:eastAsiaTheme="minorHAnsi" w:hAnsi="Leelawadee UI Semilight" w:cstheme="minorBidi"/>
        <w:color w:val="000000"/>
        <w:lang w:val="en-AU" w:eastAsia="en-US" w:bidi="ar-SA"/>
      </w:rPr>
    </w:rPrDefault>
    <w:pPrDefault>
      <w:pPr>
        <w:spacing w:before="240" w:after="120" w:line="240" w:lineRule="atLeast"/>
        <w:jc w:val="both"/>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21"/>
    <w:lsdException w:name="Closing" w:semiHidden="1" w:unhideWhenUsed="1"/>
    <w:lsdException w:name="Signature" w:semiHidden="1" w:unhideWhenUsed="1"/>
    <w:lsdException w:name="Default Paragraph Font" w:locked="0"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aliases w:val="body text"/>
    <w:qFormat/>
    <w:rsid w:val="007F56B0"/>
  </w:style>
  <w:style w:type="paragraph" w:styleId="Heading1">
    <w:name w:val="heading 1"/>
    <w:basedOn w:val="Normal"/>
    <w:next w:val="Normal"/>
    <w:link w:val="Heading1Char"/>
    <w:uiPriority w:val="9"/>
    <w:qFormat/>
    <w:rsid w:val="00D5017D"/>
    <w:pPr>
      <w:keepNext/>
      <w:keepLines/>
      <w:pageBreakBefore/>
      <w:numPr>
        <w:numId w:val="8"/>
      </w:numPr>
      <w:spacing w:before="360"/>
      <w:outlineLvl w:val="0"/>
    </w:pPr>
    <w:rPr>
      <w:rFonts w:asciiTheme="majorHAnsi" w:eastAsiaTheme="majorEastAsia" w:hAnsiTheme="majorHAnsi" w:cstheme="majorBidi"/>
      <w:b/>
      <w:bCs/>
      <w:color w:val="253D90" w:themeColor="text2"/>
      <w:sz w:val="28"/>
      <w:szCs w:val="28"/>
    </w:rPr>
  </w:style>
  <w:style w:type="paragraph" w:styleId="Heading2">
    <w:name w:val="heading 2"/>
    <w:basedOn w:val="Normal"/>
    <w:next w:val="Normal"/>
    <w:link w:val="Heading2Char"/>
    <w:uiPriority w:val="9"/>
    <w:qFormat/>
    <w:rsid w:val="00805669"/>
    <w:pPr>
      <w:keepNext/>
      <w:keepLines/>
      <w:numPr>
        <w:numId w:val="15"/>
      </w:numPr>
      <w:spacing w:before="360"/>
      <w:outlineLvl w:val="1"/>
    </w:pPr>
    <w:rPr>
      <w:rFonts w:asciiTheme="majorHAnsi" w:eastAsiaTheme="majorEastAsia" w:hAnsiTheme="majorHAnsi" w:cstheme="majorBidi"/>
      <w:b/>
      <w:bCs/>
      <w:color w:val="253D90" w:themeColor="text2"/>
      <w:sz w:val="24"/>
      <w:szCs w:val="26"/>
    </w:rPr>
  </w:style>
  <w:style w:type="paragraph" w:styleId="Heading3">
    <w:name w:val="heading 3"/>
    <w:basedOn w:val="Normal"/>
    <w:next w:val="Normal"/>
    <w:link w:val="Heading3Char"/>
    <w:uiPriority w:val="9"/>
    <w:qFormat/>
    <w:rsid w:val="00676A61"/>
    <w:pPr>
      <w:keepNext/>
      <w:keepLines/>
      <w:ind w:left="851" w:hanging="851"/>
      <w:outlineLvl w:val="2"/>
    </w:pPr>
    <w:rPr>
      <w:rFonts w:asciiTheme="majorHAnsi" w:eastAsiaTheme="majorEastAsia" w:hAnsiTheme="majorHAnsi" w:cstheme="majorBidi"/>
      <w:b/>
      <w:bCs/>
      <w:color w:val="000000" w:themeColor="text1"/>
      <w:sz w:val="22"/>
    </w:rPr>
  </w:style>
  <w:style w:type="paragraph" w:styleId="Heading4">
    <w:name w:val="heading 4"/>
    <w:basedOn w:val="Normal"/>
    <w:next w:val="Normal"/>
    <w:link w:val="Heading4Char"/>
    <w:uiPriority w:val="20"/>
    <w:semiHidden/>
    <w:qFormat/>
    <w:locked/>
    <w:rsid w:val="008125F8"/>
    <w:pPr>
      <w:keepNext/>
      <w:keepLines/>
      <w:numPr>
        <w:ilvl w:val="3"/>
        <w:numId w:val="8"/>
      </w:numPr>
      <w:spacing w:after="60" w:line="216" w:lineRule="atLeast"/>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20"/>
    <w:semiHidden/>
    <w:qFormat/>
    <w:locked/>
    <w:rsid w:val="00072B30"/>
    <w:pPr>
      <w:keepNext/>
      <w:keepLines/>
      <w:spacing w:before="200" w:after="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0"/>
    <w:semiHidden/>
    <w:qFormat/>
    <w:locked/>
    <w:rsid w:val="00072B30"/>
    <w:pPr>
      <w:keepNext/>
      <w:keepLines/>
      <w:spacing w:after="28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20"/>
    <w:semiHidden/>
    <w:qFormat/>
    <w:locked/>
    <w:rsid w:val="00072B30"/>
    <w:pPr>
      <w:keepNext/>
      <w:keepLines/>
      <w:spacing w:before="3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20"/>
    <w:semiHidden/>
    <w:qFormat/>
    <w:locked/>
    <w:rsid w:val="00072B30"/>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20"/>
    <w:semiHidden/>
    <w:qFormat/>
    <w:locked/>
    <w:rsid w:val="00072B30"/>
    <w:pPr>
      <w:keepNext/>
      <w:keepLines/>
      <w:spacing w:before="200" w:after="0"/>
      <w:outlineLvl w:val="8"/>
    </w:pPr>
    <w:rPr>
      <w:rFonts w:asciiTheme="majorHAnsi" w:eastAsiaTheme="majorEastAsia" w:hAnsiTheme="majorHAnsi" w:cstheme="majorBid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0C4"/>
    <w:rPr>
      <w:rFonts w:asciiTheme="majorHAnsi" w:eastAsiaTheme="majorEastAsia" w:hAnsiTheme="majorHAnsi" w:cstheme="majorBidi"/>
      <w:b/>
      <w:bCs/>
      <w:color w:val="253D90" w:themeColor="text2"/>
      <w:sz w:val="28"/>
      <w:szCs w:val="28"/>
    </w:rPr>
  </w:style>
  <w:style w:type="character" w:customStyle="1" w:styleId="Heading2Char">
    <w:name w:val="Heading 2 Char"/>
    <w:basedOn w:val="DefaultParagraphFont"/>
    <w:link w:val="Heading2"/>
    <w:uiPriority w:val="9"/>
    <w:rsid w:val="009E26A5"/>
    <w:rPr>
      <w:rFonts w:asciiTheme="majorHAnsi" w:eastAsiaTheme="majorEastAsia" w:hAnsiTheme="majorHAnsi" w:cstheme="majorBidi"/>
      <w:b/>
      <w:bCs/>
      <w:color w:val="253D90" w:themeColor="text2"/>
      <w:sz w:val="24"/>
      <w:szCs w:val="26"/>
    </w:rPr>
  </w:style>
  <w:style w:type="character" w:customStyle="1" w:styleId="Heading3Char">
    <w:name w:val="Heading 3 Char"/>
    <w:basedOn w:val="DefaultParagraphFont"/>
    <w:link w:val="Heading3"/>
    <w:uiPriority w:val="9"/>
    <w:rsid w:val="00676A61"/>
    <w:rPr>
      <w:rFonts w:asciiTheme="majorHAnsi" w:eastAsiaTheme="majorEastAsia" w:hAnsiTheme="majorHAnsi" w:cstheme="majorBidi"/>
      <w:b/>
      <w:bCs/>
      <w:color w:val="000000" w:themeColor="text1"/>
      <w:sz w:val="22"/>
    </w:rPr>
  </w:style>
  <w:style w:type="paragraph" w:customStyle="1" w:styleId="CoverSubtitle">
    <w:name w:val="Cover Subtitle"/>
    <w:basedOn w:val="Normal"/>
    <w:next w:val="Normal"/>
    <w:uiPriority w:val="22"/>
    <w:rsid w:val="004803CC"/>
    <w:pPr>
      <w:spacing w:after="0" w:line="240" w:lineRule="auto"/>
    </w:pPr>
    <w:rPr>
      <w:rFonts w:asciiTheme="majorHAnsi" w:hAnsiTheme="majorHAnsi"/>
      <w:b/>
      <w:color w:val="253D90" w:themeColor="text2"/>
      <w:sz w:val="24"/>
    </w:rPr>
  </w:style>
  <w:style w:type="paragraph" w:customStyle="1" w:styleId="SubHeading">
    <w:name w:val="Sub Heading"/>
    <w:basedOn w:val="Normal"/>
    <w:next w:val="Normal"/>
    <w:uiPriority w:val="9"/>
    <w:qFormat/>
    <w:rsid w:val="00433A25"/>
    <w:pPr>
      <w:keepNext/>
      <w:keepLines/>
      <w:spacing w:before="360"/>
    </w:pPr>
    <w:rPr>
      <w:b/>
      <w:color w:val="253D90" w:themeColor="text2"/>
      <w:sz w:val="28"/>
    </w:rPr>
  </w:style>
  <w:style w:type="character" w:customStyle="1" w:styleId="Heading4Char">
    <w:name w:val="Heading 4 Char"/>
    <w:basedOn w:val="DefaultParagraphFont"/>
    <w:link w:val="Heading4"/>
    <w:uiPriority w:val="20"/>
    <w:semiHidden/>
    <w:rsid w:val="00360AA8"/>
    <w:rPr>
      <w:rFonts w:asciiTheme="majorHAnsi" w:eastAsiaTheme="majorEastAsia" w:hAnsiTheme="majorHAnsi" w:cstheme="majorBidi"/>
      <w:b/>
      <w:bCs/>
      <w:iCs/>
      <w:color w:val="000000" w:themeColor="text1"/>
    </w:rPr>
  </w:style>
  <w:style w:type="paragraph" w:styleId="ListBullet">
    <w:name w:val="List Bullet"/>
    <w:basedOn w:val="Normal"/>
    <w:uiPriority w:val="16"/>
    <w:qFormat/>
    <w:rsid w:val="00D37677"/>
    <w:pPr>
      <w:numPr>
        <w:numId w:val="6"/>
      </w:numPr>
    </w:pPr>
  </w:style>
  <w:style w:type="paragraph" w:styleId="ListBullet2">
    <w:name w:val="List Bullet 2"/>
    <w:basedOn w:val="ListBullet"/>
    <w:uiPriority w:val="16"/>
    <w:qFormat/>
    <w:rsid w:val="00D37677"/>
    <w:pPr>
      <w:numPr>
        <w:ilvl w:val="1"/>
      </w:numPr>
    </w:pPr>
  </w:style>
  <w:style w:type="paragraph" w:styleId="ListNumber">
    <w:name w:val="List Number"/>
    <w:basedOn w:val="Normal"/>
    <w:uiPriority w:val="16"/>
    <w:qFormat/>
    <w:rsid w:val="00072B30"/>
    <w:pPr>
      <w:numPr>
        <w:ilvl w:val="1"/>
        <w:numId w:val="1"/>
      </w:numPr>
    </w:pPr>
  </w:style>
  <w:style w:type="paragraph" w:styleId="ListNumber2">
    <w:name w:val="List Number 2"/>
    <w:basedOn w:val="Normal"/>
    <w:uiPriority w:val="16"/>
    <w:qFormat/>
    <w:rsid w:val="00072B30"/>
    <w:pPr>
      <w:numPr>
        <w:ilvl w:val="2"/>
        <w:numId w:val="1"/>
      </w:numPr>
    </w:pPr>
  </w:style>
  <w:style w:type="numbering" w:customStyle="1" w:styleId="Lists">
    <w:name w:val="Lists"/>
    <w:uiPriority w:val="99"/>
    <w:rsid w:val="00EF0BD9"/>
    <w:pPr>
      <w:numPr>
        <w:numId w:val="1"/>
      </w:numPr>
    </w:pPr>
  </w:style>
  <w:style w:type="paragraph" w:styleId="ListNumber3">
    <w:name w:val="List Number 3"/>
    <w:basedOn w:val="Normal"/>
    <w:uiPriority w:val="16"/>
    <w:qFormat/>
    <w:rsid w:val="00072B30"/>
    <w:pPr>
      <w:numPr>
        <w:ilvl w:val="3"/>
        <w:numId w:val="1"/>
      </w:numPr>
    </w:pPr>
  </w:style>
  <w:style w:type="paragraph" w:styleId="Title">
    <w:name w:val="Title"/>
    <w:basedOn w:val="Normal"/>
    <w:next w:val="CoverSubtitle"/>
    <w:link w:val="TitleChar"/>
    <w:uiPriority w:val="21"/>
    <w:rsid w:val="00703E8D"/>
    <w:pPr>
      <w:spacing w:line="240" w:lineRule="auto"/>
      <w:contextualSpacing/>
    </w:pPr>
    <w:rPr>
      <w:rFonts w:ascii="Tw Cen MT" w:eastAsiaTheme="majorEastAsia" w:hAnsi="Tw Cen MT" w:cstheme="majorBidi"/>
      <w:color w:val="F47920" w:themeColor="background2"/>
      <w:sz w:val="48"/>
      <w:szCs w:val="52"/>
    </w:rPr>
  </w:style>
  <w:style w:type="character" w:customStyle="1" w:styleId="TitleChar">
    <w:name w:val="Title Char"/>
    <w:basedOn w:val="DefaultParagraphFont"/>
    <w:link w:val="Title"/>
    <w:uiPriority w:val="21"/>
    <w:rsid w:val="00703E8D"/>
    <w:rPr>
      <w:rFonts w:ascii="Tw Cen MT" w:eastAsiaTheme="majorEastAsia" w:hAnsi="Tw Cen MT" w:cstheme="majorBidi"/>
      <w:color w:val="F47920" w:themeColor="background2"/>
      <w:sz w:val="48"/>
      <w:szCs w:val="52"/>
    </w:rPr>
  </w:style>
  <w:style w:type="numbering" w:customStyle="1" w:styleId="MultiLevelheadinglist">
    <w:name w:val="Multi Level heading list"/>
    <w:uiPriority w:val="99"/>
    <w:locked/>
    <w:rsid w:val="00D461C2"/>
    <w:pPr>
      <w:numPr>
        <w:numId w:val="2"/>
      </w:numPr>
    </w:pPr>
  </w:style>
  <w:style w:type="paragraph" w:styleId="TOC1">
    <w:name w:val="toc 1"/>
    <w:basedOn w:val="Normal"/>
    <w:next w:val="Normal"/>
    <w:autoRedefine/>
    <w:uiPriority w:val="39"/>
    <w:rsid w:val="00A94A74"/>
    <w:pPr>
      <w:tabs>
        <w:tab w:val="left" w:pos="567"/>
        <w:tab w:val="right" w:pos="8505"/>
      </w:tabs>
      <w:spacing w:before="360" w:after="60"/>
    </w:pPr>
    <w:rPr>
      <w:rFonts w:asciiTheme="majorHAnsi" w:hAnsiTheme="majorHAnsi"/>
      <w:b/>
      <w:color w:val="F47920" w:themeColor="background2"/>
      <w:sz w:val="22"/>
    </w:rPr>
  </w:style>
  <w:style w:type="paragraph" w:styleId="TOCHeading">
    <w:name w:val="TOC Heading"/>
    <w:basedOn w:val="Heading1"/>
    <w:next w:val="Normal"/>
    <w:uiPriority w:val="39"/>
    <w:rsid w:val="00D24079"/>
    <w:pPr>
      <w:pageBreakBefore w:val="0"/>
      <w:numPr>
        <w:numId w:val="0"/>
      </w:numPr>
      <w:spacing w:after="360"/>
      <w:outlineLvl w:val="9"/>
    </w:pPr>
    <w:rPr>
      <w:sz w:val="24"/>
    </w:rPr>
  </w:style>
  <w:style w:type="paragraph" w:styleId="Footer">
    <w:name w:val="footer"/>
    <w:basedOn w:val="Normal"/>
    <w:link w:val="FooterChar"/>
    <w:uiPriority w:val="99"/>
    <w:rsid w:val="00360AA8"/>
    <w:pPr>
      <w:tabs>
        <w:tab w:val="right" w:pos="9639"/>
      </w:tabs>
      <w:spacing w:before="0" w:after="0" w:line="200" w:lineRule="exact"/>
      <w:ind w:left="-567"/>
      <w:contextualSpacing/>
    </w:pPr>
    <w:rPr>
      <w:rFonts w:asciiTheme="majorHAnsi" w:hAnsiTheme="majorHAnsi"/>
      <w:color w:val="000000" w:themeColor="text1"/>
      <w:sz w:val="14"/>
    </w:rPr>
  </w:style>
  <w:style w:type="character" w:customStyle="1" w:styleId="FooterChar">
    <w:name w:val="Footer Char"/>
    <w:basedOn w:val="DefaultParagraphFont"/>
    <w:link w:val="Footer"/>
    <w:uiPriority w:val="99"/>
    <w:rsid w:val="00360AA8"/>
    <w:rPr>
      <w:rFonts w:asciiTheme="majorHAnsi" w:hAnsiTheme="majorHAnsi"/>
      <w:color w:val="000000" w:themeColor="text1"/>
      <w:sz w:val="14"/>
    </w:rPr>
  </w:style>
  <w:style w:type="paragraph" w:styleId="ListBullet3">
    <w:name w:val="List Bullet 3"/>
    <w:basedOn w:val="Normal"/>
    <w:uiPriority w:val="16"/>
    <w:qFormat/>
    <w:rsid w:val="00D37677"/>
    <w:pPr>
      <w:numPr>
        <w:ilvl w:val="2"/>
        <w:numId w:val="6"/>
      </w:numPr>
    </w:pPr>
  </w:style>
  <w:style w:type="table" w:styleId="TableGrid">
    <w:name w:val="Table Grid"/>
    <w:basedOn w:val="TableNormal"/>
    <w:uiPriority w:val="59"/>
    <w:rsid w:val="008A7627"/>
    <w:pPr>
      <w:spacing w:before="120" w:line="220" w:lineRule="exact"/>
      <w:jc w:val="left"/>
    </w:pPr>
    <w:rPr>
      <w:sz w:val="18"/>
    </w:rPr>
    <w:tblPr>
      <w:tblBorders>
        <w:top w:val="single" w:sz="4" w:space="0" w:color="D7DCE2" w:themeColor="accent4"/>
        <w:left w:val="single" w:sz="4" w:space="0" w:color="D7DCE2" w:themeColor="accent4"/>
        <w:bottom w:val="single" w:sz="4" w:space="0" w:color="D7DCE2" w:themeColor="accent4"/>
        <w:right w:val="single" w:sz="4" w:space="0" w:color="D7DCE2" w:themeColor="accent4"/>
        <w:insideH w:val="single" w:sz="4" w:space="0" w:color="D7DCE2" w:themeColor="accent4"/>
        <w:insideV w:val="single" w:sz="4" w:space="0" w:color="D7DCE2" w:themeColor="accent4"/>
      </w:tblBorders>
      <w:tblCellMar>
        <w:left w:w="85" w:type="dxa"/>
        <w:right w:w="85" w:type="dxa"/>
      </w:tblCellMar>
    </w:tblPr>
    <w:tcPr>
      <w:shd w:val="clear" w:color="auto" w:fill="EAEAEA" w:themeFill="accent6"/>
    </w:tcPr>
    <w:tblStylePr w:type="firstRow">
      <w:pPr>
        <w:jc w:val="left"/>
      </w:pPr>
      <w:rPr>
        <w:b/>
        <w:color w:val="FFFFFF" w:themeColor="background1"/>
        <w:sz w:val="20"/>
      </w:rPr>
      <w:tblPr/>
      <w:trPr>
        <w:tblHeader/>
      </w:trPr>
      <w:tcPr>
        <w:shd w:val="clear" w:color="auto" w:fill="253D90" w:themeFill="text2"/>
      </w:tcPr>
    </w:tblStylePr>
    <w:tblStylePr w:type="lastRow">
      <w:rPr>
        <w:b/>
      </w:rPr>
    </w:tblStylePr>
    <w:tblStylePr w:type="firstCol">
      <w:pPr>
        <w:jc w:val="left"/>
      </w:pPr>
      <w:rPr>
        <w:b w:val="0"/>
        <w:color w:val="000000" w:themeColor="text1"/>
      </w:rPr>
    </w:tblStylePr>
    <w:tblStylePr w:type="lastCol">
      <w:pPr>
        <w:jc w:val="right"/>
      </w:pPr>
    </w:tblStylePr>
  </w:style>
  <w:style w:type="paragraph" w:styleId="Caption">
    <w:name w:val="caption"/>
    <w:aliases w:val="Table/Figure Caption"/>
    <w:next w:val="Normal"/>
    <w:uiPriority w:val="35"/>
    <w:qFormat/>
    <w:rsid w:val="00252227"/>
    <w:pPr>
      <w:tabs>
        <w:tab w:val="left" w:pos="720"/>
      </w:tabs>
      <w:ind w:left="720" w:hanging="720"/>
    </w:pPr>
    <w:rPr>
      <w:b/>
      <w:bCs/>
      <w:szCs w:val="18"/>
    </w:rPr>
  </w:style>
  <w:style w:type="paragraph" w:styleId="Header">
    <w:name w:val="header"/>
    <w:basedOn w:val="Normal"/>
    <w:link w:val="HeaderChar"/>
    <w:rsid w:val="00E51055"/>
    <w:pPr>
      <w:tabs>
        <w:tab w:val="center" w:pos="4513"/>
        <w:tab w:val="right" w:pos="9026"/>
      </w:tabs>
      <w:spacing w:before="0" w:after="0" w:line="264" w:lineRule="auto"/>
      <w:ind w:left="-1247"/>
    </w:pPr>
    <w:rPr>
      <w:b/>
      <w:color w:val="F47920" w:themeColor="background2"/>
      <w:sz w:val="18"/>
    </w:rPr>
  </w:style>
  <w:style w:type="character" w:customStyle="1" w:styleId="HeaderChar">
    <w:name w:val="Header Char"/>
    <w:basedOn w:val="DefaultParagraphFont"/>
    <w:link w:val="Header"/>
    <w:rsid w:val="00E51055"/>
    <w:rPr>
      <w:b/>
      <w:color w:val="F47920" w:themeColor="background2"/>
      <w:sz w:val="18"/>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86592A"/>
    <w:rPr>
      <w:noProof w:val="0"/>
      <w:color w:val="7F7F7F" w:themeColor="text1" w:themeTint="80"/>
      <w:sz w:val="16"/>
      <w:lang w:val="en-AU"/>
    </w:rPr>
  </w:style>
  <w:style w:type="paragraph" w:styleId="ListNumber4">
    <w:name w:val="List Number 4"/>
    <w:basedOn w:val="Normal"/>
    <w:uiPriority w:val="16"/>
    <w:semiHidden/>
    <w:qFormat/>
    <w:locked/>
    <w:rsid w:val="00072B30"/>
    <w:pPr>
      <w:numPr>
        <w:ilvl w:val="4"/>
      </w:numPr>
    </w:pPr>
  </w:style>
  <w:style w:type="character" w:styleId="Hyperlink">
    <w:name w:val="Hyperlink"/>
    <w:basedOn w:val="DefaultParagraphFont"/>
    <w:uiPriority w:val="99"/>
    <w:rsid w:val="006427FE"/>
    <w:rPr>
      <w:noProof w:val="0"/>
      <w:color w:val="253D90"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53D90" w:themeColor="accent1"/>
        <w:left w:val="single" w:sz="2" w:space="10" w:color="253D90" w:themeColor="accent1"/>
        <w:bottom w:val="single" w:sz="2" w:space="10" w:color="253D90" w:themeColor="accent1"/>
        <w:right w:val="single" w:sz="2" w:space="10" w:color="253D90" w:themeColor="accent1"/>
      </w:pBdr>
      <w:ind w:left="1152" w:right="1152"/>
    </w:pPr>
    <w:rPr>
      <w:rFonts w:asciiTheme="minorHAnsi" w:eastAsiaTheme="minorEastAsia" w:hAnsiTheme="minorHAnsi"/>
      <w:i/>
      <w:iCs/>
      <w:color w:val="253D90" w:themeColor="accent1"/>
    </w:rPr>
  </w:style>
  <w:style w:type="paragraph" w:styleId="BodyText">
    <w:name w:val="Body Text"/>
    <w:basedOn w:val="Normal"/>
    <w:link w:val="BodyTextChar"/>
    <w:qFormat/>
    <w:locked/>
    <w:rsid w:val="00F80750"/>
  </w:style>
  <w:style w:type="character" w:customStyle="1" w:styleId="BodyTextChar">
    <w:name w:val="Body Text Char"/>
    <w:basedOn w:val="DefaultParagraphFont"/>
    <w:link w:val="BodyText"/>
    <w:rsid w:val="005C6EA1"/>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AD3F1" w:themeFill="accent1" w:themeFillTint="33"/>
    </w:tcPr>
    <w:tblStylePr w:type="firstRow">
      <w:rPr>
        <w:b/>
        <w:bCs/>
      </w:rPr>
      <w:tblPr/>
      <w:tcPr>
        <w:shd w:val="clear" w:color="auto" w:fill="96A7E4" w:themeFill="accent1" w:themeFillTint="66"/>
      </w:tcPr>
    </w:tblStylePr>
    <w:tblStylePr w:type="lastRow">
      <w:rPr>
        <w:b/>
        <w:bCs/>
        <w:color w:val="000000" w:themeColor="text1"/>
      </w:rPr>
      <w:tblPr/>
      <w:tcPr>
        <w:shd w:val="clear" w:color="auto" w:fill="96A7E4" w:themeFill="accent1" w:themeFillTint="66"/>
      </w:tcPr>
    </w:tblStylePr>
    <w:tblStylePr w:type="firstCol">
      <w:rPr>
        <w:color w:val="FFFFFF" w:themeColor="background1"/>
      </w:rPr>
      <w:tblPr/>
      <w:tcPr>
        <w:shd w:val="clear" w:color="auto" w:fill="1B2D6B" w:themeFill="accent1" w:themeFillShade="BF"/>
      </w:tcPr>
    </w:tblStylePr>
    <w:tblStylePr w:type="lastCol">
      <w:rPr>
        <w:color w:val="FFFFFF" w:themeColor="background1"/>
      </w:rPr>
      <w:tblPr/>
      <w:tcPr>
        <w:shd w:val="clear" w:color="auto" w:fill="1B2D6B" w:themeFill="accent1" w:themeFillShade="BF"/>
      </w:tcPr>
    </w:tblStylePr>
    <w:tblStylePr w:type="band1Vert">
      <w:tblPr/>
      <w:tcPr>
        <w:shd w:val="clear" w:color="auto" w:fill="7C92DD" w:themeFill="accent1" w:themeFillTint="7F"/>
      </w:tcPr>
    </w:tblStylePr>
    <w:tblStylePr w:type="band1Horz">
      <w:tblPr/>
      <w:tcPr>
        <w:shd w:val="clear" w:color="auto" w:fill="7C92DD"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CE4D2" w:themeFill="accent2" w:themeFillTint="33"/>
    </w:tcPr>
    <w:tblStylePr w:type="firstRow">
      <w:rPr>
        <w:b/>
        <w:bCs/>
      </w:rPr>
      <w:tblPr/>
      <w:tcPr>
        <w:shd w:val="clear" w:color="auto" w:fill="FAC9A5" w:themeFill="accent2" w:themeFillTint="66"/>
      </w:tcPr>
    </w:tblStylePr>
    <w:tblStylePr w:type="lastRow">
      <w:rPr>
        <w:b/>
        <w:bCs/>
        <w:color w:val="000000" w:themeColor="text1"/>
      </w:rPr>
      <w:tblPr/>
      <w:tcPr>
        <w:shd w:val="clear" w:color="auto" w:fill="FAC9A5" w:themeFill="accent2" w:themeFillTint="66"/>
      </w:tcPr>
    </w:tblStylePr>
    <w:tblStylePr w:type="firstCol">
      <w:rPr>
        <w:color w:val="FFFFFF" w:themeColor="background1"/>
      </w:rPr>
      <w:tblPr/>
      <w:tcPr>
        <w:shd w:val="clear" w:color="auto" w:fill="C45809" w:themeFill="accent2" w:themeFillShade="BF"/>
      </w:tcPr>
    </w:tblStylePr>
    <w:tblStylePr w:type="lastCol">
      <w:rPr>
        <w:color w:val="FFFFFF" w:themeColor="background1"/>
      </w:rPr>
      <w:tblPr/>
      <w:tcPr>
        <w:shd w:val="clear" w:color="auto" w:fill="C45809" w:themeFill="accent2" w:themeFillShade="BF"/>
      </w:tcPr>
    </w:tblStylePr>
    <w:tblStylePr w:type="band1Vert">
      <w:tblPr/>
      <w:tcPr>
        <w:shd w:val="clear" w:color="auto" w:fill="F9BC8F" w:themeFill="accent2" w:themeFillTint="7F"/>
      </w:tcPr>
    </w:tblStylePr>
    <w:tblStylePr w:type="band1Horz">
      <w:tblPr/>
      <w:tcPr>
        <w:shd w:val="clear" w:color="auto" w:fill="F9BC8F"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0E7E8" w:themeFill="accent3" w:themeFillTint="33"/>
    </w:tcPr>
    <w:tblStylePr w:type="firstRow">
      <w:rPr>
        <w:b/>
        <w:bCs/>
      </w:rPr>
      <w:tblPr/>
      <w:tcPr>
        <w:shd w:val="clear" w:color="auto" w:fill="C2CFD2" w:themeFill="accent3" w:themeFillTint="66"/>
      </w:tcPr>
    </w:tblStylePr>
    <w:tblStylePr w:type="lastRow">
      <w:rPr>
        <w:b/>
        <w:bCs/>
        <w:color w:val="000000" w:themeColor="text1"/>
      </w:rPr>
      <w:tblPr/>
      <w:tcPr>
        <w:shd w:val="clear" w:color="auto" w:fill="C2CFD2" w:themeFill="accent3" w:themeFillTint="66"/>
      </w:tcPr>
    </w:tblStylePr>
    <w:tblStylePr w:type="firstCol">
      <w:rPr>
        <w:color w:val="FFFFFF" w:themeColor="background1"/>
      </w:rPr>
      <w:tblPr/>
      <w:tcPr>
        <w:shd w:val="clear" w:color="auto" w:fill="4D646A" w:themeFill="accent3" w:themeFillShade="BF"/>
      </w:tcPr>
    </w:tblStylePr>
    <w:tblStylePr w:type="lastCol">
      <w:rPr>
        <w:color w:val="FFFFFF" w:themeColor="background1"/>
      </w:rPr>
      <w:tblPr/>
      <w:tcPr>
        <w:shd w:val="clear" w:color="auto" w:fill="4D646A" w:themeFill="accent3" w:themeFillShade="BF"/>
      </w:tcPr>
    </w:tblStylePr>
    <w:tblStylePr w:type="band1Vert">
      <w:tblPr/>
      <w:tcPr>
        <w:shd w:val="clear" w:color="auto" w:fill="B3C3C7" w:themeFill="accent3" w:themeFillTint="7F"/>
      </w:tcPr>
    </w:tblStylePr>
    <w:tblStylePr w:type="band1Horz">
      <w:tblPr/>
      <w:tcPr>
        <w:shd w:val="clear" w:color="auto" w:fill="B3C3C7"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6F7F9" w:themeFill="accent4" w:themeFillTint="33"/>
    </w:tcPr>
    <w:tblStylePr w:type="firstRow">
      <w:rPr>
        <w:b/>
        <w:bCs/>
      </w:rPr>
      <w:tblPr/>
      <w:tcPr>
        <w:shd w:val="clear" w:color="auto" w:fill="EEF0F3" w:themeFill="accent4" w:themeFillTint="66"/>
      </w:tcPr>
    </w:tblStylePr>
    <w:tblStylePr w:type="lastRow">
      <w:rPr>
        <w:b/>
        <w:bCs/>
        <w:color w:val="000000" w:themeColor="text1"/>
      </w:rPr>
      <w:tblPr/>
      <w:tcPr>
        <w:shd w:val="clear" w:color="auto" w:fill="EEF0F3" w:themeFill="accent4" w:themeFillTint="66"/>
      </w:tcPr>
    </w:tblStylePr>
    <w:tblStylePr w:type="firstCol">
      <w:rPr>
        <w:color w:val="FFFFFF" w:themeColor="background1"/>
      </w:rPr>
      <w:tblPr/>
      <w:tcPr>
        <w:shd w:val="clear" w:color="auto" w:fill="96A3B3" w:themeFill="accent4" w:themeFillShade="BF"/>
      </w:tcPr>
    </w:tblStylePr>
    <w:tblStylePr w:type="lastCol">
      <w:rPr>
        <w:color w:val="FFFFFF" w:themeColor="background1"/>
      </w:rPr>
      <w:tblPr/>
      <w:tcPr>
        <w:shd w:val="clear" w:color="auto" w:fill="96A3B3" w:themeFill="accent4" w:themeFillShade="BF"/>
      </w:tcPr>
    </w:tblStylePr>
    <w:tblStylePr w:type="band1Vert">
      <w:tblPr/>
      <w:tcPr>
        <w:shd w:val="clear" w:color="auto" w:fill="EAEDF0" w:themeFill="accent4" w:themeFillTint="7F"/>
      </w:tcPr>
    </w:tblStylePr>
    <w:tblStylePr w:type="band1Horz">
      <w:tblPr/>
      <w:tcPr>
        <w:shd w:val="clear" w:color="auto" w:fill="EAEDF0"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9EDF9" w:themeFill="accent5" w:themeFillTint="33"/>
    </w:tcPr>
    <w:tblStylePr w:type="firstRow">
      <w:rPr>
        <w:b/>
        <w:bCs/>
      </w:rPr>
      <w:tblPr/>
      <w:tcPr>
        <w:shd w:val="clear" w:color="auto" w:fill="D4DBF4" w:themeFill="accent5" w:themeFillTint="66"/>
      </w:tcPr>
    </w:tblStylePr>
    <w:tblStylePr w:type="lastRow">
      <w:rPr>
        <w:b/>
        <w:bCs/>
        <w:color w:val="000000" w:themeColor="text1"/>
      </w:rPr>
      <w:tblPr/>
      <w:tcPr>
        <w:shd w:val="clear" w:color="auto" w:fill="D4DBF4" w:themeFill="accent5" w:themeFillTint="66"/>
      </w:tcPr>
    </w:tblStylePr>
    <w:tblStylePr w:type="firstCol">
      <w:rPr>
        <w:color w:val="FFFFFF" w:themeColor="background1"/>
      </w:rPr>
      <w:tblPr/>
      <w:tcPr>
        <w:shd w:val="clear" w:color="auto" w:fill="4A67D0" w:themeFill="accent5" w:themeFillShade="BF"/>
      </w:tcPr>
    </w:tblStylePr>
    <w:tblStylePr w:type="lastCol">
      <w:rPr>
        <w:color w:val="FFFFFF" w:themeColor="background1"/>
      </w:rPr>
      <w:tblPr/>
      <w:tcPr>
        <w:shd w:val="clear" w:color="auto" w:fill="4A67D0" w:themeFill="accent5" w:themeFillShade="BF"/>
      </w:tcPr>
    </w:tblStylePr>
    <w:tblStylePr w:type="band1Vert">
      <w:tblPr/>
      <w:tcPr>
        <w:shd w:val="clear" w:color="auto" w:fill="CAD2F1" w:themeFill="accent5" w:themeFillTint="7F"/>
      </w:tcPr>
    </w:tblStylePr>
    <w:tblStylePr w:type="band1Horz">
      <w:tblPr/>
      <w:tcPr>
        <w:shd w:val="clear" w:color="auto" w:fill="CAD2F1"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AFAFA" w:themeFill="accent6" w:themeFillTint="33"/>
    </w:tcPr>
    <w:tblStylePr w:type="firstRow">
      <w:rPr>
        <w:b/>
        <w:bCs/>
      </w:rPr>
      <w:tblPr/>
      <w:tcPr>
        <w:shd w:val="clear" w:color="auto" w:fill="F6F6F6" w:themeFill="accent6" w:themeFillTint="66"/>
      </w:tcPr>
    </w:tblStylePr>
    <w:tblStylePr w:type="lastRow">
      <w:rPr>
        <w:b/>
        <w:bCs/>
        <w:color w:val="000000" w:themeColor="text1"/>
      </w:rPr>
      <w:tblPr/>
      <w:tcPr>
        <w:shd w:val="clear" w:color="auto" w:fill="F6F6F6" w:themeFill="accent6" w:themeFillTint="66"/>
      </w:tcPr>
    </w:tblStylePr>
    <w:tblStylePr w:type="firstCol">
      <w:rPr>
        <w:color w:val="FFFFFF" w:themeColor="background1"/>
      </w:rPr>
      <w:tblPr/>
      <w:tcPr>
        <w:shd w:val="clear" w:color="auto" w:fill="AFAFAF" w:themeFill="accent6" w:themeFillShade="BF"/>
      </w:tcPr>
    </w:tblStylePr>
    <w:tblStylePr w:type="lastCol">
      <w:rPr>
        <w:color w:val="FFFFFF" w:themeColor="background1"/>
      </w:rPr>
      <w:tblPr/>
      <w:tcPr>
        <w:shd w:val="clear" w:color="auto" w:fill="AFAFAF" w:themeFill="accent6" w:themeFillShade="BF"/>
      </w:tcPr>
    </w:tblStylePr>
    <w:tblStylePr w:type="band1Vert">
      <w:tblPr/>
      <w:tcPr>
        <w:shd w:val="clear" w:color="auto" w:fill="F4F4F4" w:themeFill="accent6" w:themeFillTint="7F"/>
      </w:tcPr>
    </w:tblStylePr>
    <w:tblStylePr w:type="band1Horz">
      <w:tblPr/>
      <w:tcPr>
        <w:shd w:val="clear" w:color="auto" w:fill="F4F4F4" w:themeFill="accent6" w:themeFillTint="7F"/>
      </w:tcPr>
    </w:tblStylePr>
  </w:style>
  <w:style w:type="table" w:styleId="ColorfulList">
    <w:name w:val="Colorful List"/>
    <w:basedOn w:val="TableNormal"/>
    <w:uiPriority w:val="72"/>
    <w:locked/>
    <w:rsid w:val="00F8075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E0A" w:themeFill="accent2" w:themeFillShade="CC"/>
      </w:tcPr>
    </w:tblStylePr>
    <w:tblStylePr w:type="lastRow">
      <w:rPr>
        <w:b/>
        <w:bCs/>
        <w:color w:val="D25E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Pr>
    <w:tcPr>
      <w:shd w:val="clear" w:color="auto" w:fill="E5E9F8" w:themeFill="accent1" w:themeFillTint="19"/>
    </w:tcPr>
    <w:tblStylePr w:type="firstRow">
      <w:rPr>
        <w:b/>
        <w:bCs/>
        <w:color w:val="FFFFFF" w:themeColor="background1"/>
      </w:rPr>
      <w:tblPr/>
      <w:tcPr>
        <w:tcBorders>
          <w:bottom w:val="single" w:sz="12" w:space="0" w:color="FFFFFF" w:themeColor="background1"/>
        </w:tcBorders>
        <w:shd w:val="clear" w:color="auto" w:fill="D25E0A" w:themeFill="accent2" w:themeFillShade="CC"/>
      </w:tcPr>
    </w:tblStylePr>
    <w:tblStylePr w:type="lastRow">
      <w:rPr>
        <w:b/>
        <w:bCs/>
        <w:color w:val="D25E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C8EE" w:themeFill="accent1" w:themeFillTint="3F"/>
      </w:tcPr>
    </w:tblStylePr>
    <w:tblStylePr w:type="band1Horz">
      <w:tblPr/>
      <w:tcPr>
        <w:shd w:val="clear" w:color="auto" w:fill="CAD3F1"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Pr>
    <w:tcPr>
      <w:shd w:val="clear" w:color="auto" w:fill="FEF1E9" w:themeFill="accent2" w:themeFillTint="19"/>
    </w:tcPr>
    <w:tblStylePr w:type="firstRow">
      <w:rPr>
        <w:b/>
        <w:bCs/>
        <w:color w:val="FFFFFF" w:themeColor="background1"/>
      </w:rPr>
      <w:tblPr/>
      <w:tcPr>
        <w:tcBorders>
          <w:bottom w:val="single" w:sz="12" w:space="0" w:color="FFFFFF" w:themeColor="background1"/>
        </w:tcBorders>
        <w:shd w:val="clear" w:color="auto" w:fill="D25E0A" w:themeFill="accent2" w:themeFillShade="CC"/>
      </w:tcPr>
    </w:tblStylePr>
    <w:tblStylePr w:type="lastRow">
      <w:rPr>
        <w:b/>
        <w:bCs/>
        <w:color w:val="D25E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DC7" w:themeFill="accent2" w:themeFillTint="3F"/>
      </w:tcPr>
    </w:tblStylePr>
    <w:tblStylePr w:type="band1Horz">
      <w:tblPr/>
      <w:tcPr>
        <w:shd w:val="clear" w:color="auto" w:fill="FCE4D2"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Pr>
    <w:tcPr>
      <w:shd w:val="clear" w:color="auto" w:fill="EFF3F4" w:themeFill="accent3" w:themeFillTint="19"/>
    </w:tcPr>
    <w:tblStylePr w:type="firstRow">
      <w:rPr>
        <w:b/>
        <w:bCs/>
        <w:color w:val="FFFFFF" w:themeColor="background1"/>
      </w:rPr>
      <w:tblPr/>
      <w:tcPr>
        <w:tcBorders>
          <w:bottom w:val="single" w:sz="12" w:space="0" w:color="FFFFFF" w:themeColor="background1"/>
        </w:tcBorders>
        <w:shd w:val="clear" w:color="auto" w:fill="A3AFBC" w:themeFill="accent4" w:themeFillShade="CC"/>
      </w:tcPr>
    </w:tblStylePr>
    <w:tblStylePr w:type="lastRow">
      <w:rPr>
        <w:b/>
        <w:bCs/>
        <w:color w:val="A3AFB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E3" w:themeFill="accent3" w:themeFillTint="3F"/>
      </w:tcPr>
    </w:tblStylePr>
    <w:tblStylePr w:type="band1Horz">
      <w:tblPr/>
      <w:tcPr>
        <w:shd w:val="clear" w:color="auto" w:fill="E0E7E8"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Pr>
    <w:tcPr>
      <w:shd w:val="clear" w:color="auto" w:fill="FAFBFC" w:themeFill="accent4" w:themeFillTint="19"/>
    </w:tcPr>
    <w:tblStylePr w:type="firstRow">
      <w:rPr>
        <w:b/>
        <w:bCs/>
        <w:color w:val="FFFFFF" w:themeColor="background1"/>
      </w:rPr>
      <w:tblPr/>
      <w:tcPr>
        <w:tcBorders>
          <w:bottom w:val="single" w:sz="12" w:space="0" w:color="FFFFFF" w:themeColor="background1"/>
        </w:tcBorders>
        <w:shd w:val="clear" w:color="auto" w:fill="536B71" w:themeFill="accent3" w:themeFillShade="CC"/>
      </w:tcPr>
    </w:tblStylePr>
    <w:tblStylePr w:type="lastRow">
      <w:rPr>
        <w:b/>
        <w:bCs/>
        <w:color w:val="536B7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6F7" w:themeFill="accent4" w:themeFillTint="3F"/>
      </w:tcPr>
    </w:tblStylePr>
    <w:tblStylePr w:type="band1Horz">
      <w:tblPr/>
      <w:tcPr>
        <w:shd w:val="clear" w:color="auto" w:fill="F6F7F9"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Pr>
    <w:tcPr>
      <w:shd w:val="clear" w:color="auto" w:fill="F4F6FC" w:themeFill="accent5" w:themeFillTint="19"/>
    </w:tcPr>
    <w:tblStylePr w:type="firstRow">
      <w:rPr>
        <w:b/>
        <w:bCs/>
        <w:color w:val="FFFFFF" w:themeColor="background1"/>
      </w:rPr>
      <w:tblPr/>
      <w:tcPr>
        <w:tcBorders>
          <w:bottom w:val="single" w:sz="12" w:space="0" w:color="FFFFFF" w:themeColor="background1"/>
        </w:tcBorders>
        <w:shd w:val="clear" w:color="auto" w:fill="BBBBBB" w:themeFill="accent6" w:themeFillShade="CC"/>
      </w:tcPr>
    </w:tblStylePr>
    <w:tblStylePr w:type="lastRow">
      <w:rPr>
        <w:b/>
        <w:bCs/>
        <w:color w:val="BBBBB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9F8" w:themeFill="accent5" w:themeFillTint="3F"/>
      </w:tcPr>
    </w:tblStylePr>
    <w:tblStylePr w:type="band1Horz">
      <w:tblPr/>
      <w:tcPr>
        <w:shd w:val="clear" w:color="auto" w:fill="E9EDF9"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Pr>
    <w:tcPr>
      <w:shd w:val="clear" w:color="auto" w:fill="FCFCFC" w:themeFill="accent6" w:themeFillTint="19"/>
    </w:tcPr>
    <w:tblStylePr w:type="firstRow">
      <w:rPr>
        <w:b/>
        <w:bCs/>
        <w:color w:val="FFFFFF" w:themeColor="background1"/>
      </w:rPr>
      <w:tblPr/>
      <w:tcPr>
        <w:tcBorders>
          <w:bottom w:val="single" w:sz="12" w:space="0" w:color="FFFFFF" w:themeColor="background1"/>
        </w:tcBorders>
        <w:shd w:val="clear" w:color="auto" w:fill="5974D4" w:themeFill="accent5" w:themeFillShade="CC"/>
      </w:tcPr>
    </w:tblStylePr>
    <w:tblStylePr w:type="lastRow">
      <w:rPr>
        <w:b/>
        <w:bCs/>
        <w:color w:val="5974D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9F9" w:themeFill="accent6" w:themeFillTint="3F"/>
      </w:tcPr>
    </w:tblStylePr>
    <w:tblStylePr w:type="band1Horz">
      <w:tblPr/>
      <w:tcPr>
        <w:shd w:val="clear" w:color="auto" w:fill="FAFAFA" w:themeFill="accent6" w:themeFillTint="33"/>
      </w:tcPr>
    </w:tblStylePr>
  </w:style>
  <w:style w:type="table" w:styleId="ColorfulShading">
    <w:name w:val="Colorful Shading"/>
    <w:basedOn w:val="TableNormal"/>
    <w:uiPriority w:val="71"/>
    <w:locked/>
    <w:rsid w:val="00F80750"/>
    <w:pPr>
      <w:spacing w:after="0" w:line="240" w:lineRule="auto"/>
    </w:pPr>
    <w:tblPr>
      <w:tblStyleRowBandSize w:val="1"/>
      <w:tblStyleColBandSize w:val="1"/>
      <w:tblBorders>
        <w:top w:val="single" w:sz="24" w:space="0" w:color="F4792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479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F47920" w:themeColor="accent2"/>
        <w:left w:val="single" w:sz="4" w:space="0" w:color="253D90" w:themeColor="accent1"/>
        <w:bottom w:val="single" w:sz="4" w:space="0" w:color="253D90" w:themeColor="accent1"/>
        <w:right w:val="single" w:sz="4" w:space="0" w:color="253D90" w:themeColor="accent1"/>
        <w:insideH w:val="single" w:sz="4" w:space="0" w:color="FFFFFF" w:themeColor="background1"/>
        <w:insideV w:val="single" w:sz="4" w:space="0" w:color="FFFFFF" w:themeColor="background1"/>
      </w:tblBorders>
    </w:tblPr>
    <w:tcPr>
      <w:shd w:val="clear" w:color="auto" w:fill="E5E9F8" w:themeFill="accent1" w:themeFillTint="19"/>
    </w:tcPr>
    <w:tblStylePr w:type="firstRow">
      <w:rPr>
        <w:b/>
        <w:bCs/>
      </w:rPr>
      <w:tblPr/>
      <w:tcPr>
        <w:tcBorders>
          <w:top w:val="nil"/>
          <w:left w:val="nil"/>
          <w:bottom w:val="single" w:sz="24" w:space="0" w:color="F479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2456" w:themeFill="accent1" w:themeFillShade="99"/>
      </w:tcPr>
    </w:tblStylePr>
    <w:tblStylePr w:type="firstCol">
      <w:rPr>
        <w:color w:val="FFFFFF" w:themeColor="background1"/>
      </w:rPr>
      <w:tblPr/>
      <w:tcPr>
        <w:tcBorders>
          <w:top w:val="nil"/>
          <w:left w:val="nil"/>
          <w:bottom w:val="nil"/>
          <w:right w:val="nil"/>
          <w:insideH w:val="single" w:sz="4" w:space="0" w:color="162456" w:themeColor="accent1" w:themeShade="99"/>
          <w:insideV w:val="nil"/>
        </w:tcBorders>
        <w:shd w:val="clear" w:color="auto" w:fill="16245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62456" w:themeFill="accent1" w:themeFillShade="99"/>
      </w:tcPr>
    </w:tblStylePr>
    <w:tblStylePr w:type="band1Vert">
      <w:tblPr/>
      <w:tcPr>
        <w:shd w:val="clear" w:color="auto" w:fill="96A7E4" w:themeFill="accent1" w:themeFillTint="66"/>
      </w:tcPr>
    </w:tblStylePr>
    <w:tblStylePr w:type="band1Horz">
      <w:tblPr/>
      <w:tcPr>
        <w:shd w:val="clear" w:color="auto" w:fill="7C92D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F47920" w:themeColor="accent2"/>
        <w:left w:val="single" w:sz="4" w:space="0" w:color="F47920" w:themeColor="accent2"/>
        <w:bottom w:val="single" w:sz="4" w:space="0" w:color="F47920" w:themeColor="accent2"/>
        <w:right w:val="single" w:sz="4" w:space="0" w:color="F47920" w:themeColor="accent2"/>
        <w:insideH w:val="single" w:sz="4" w:space="0" w:color="FFFFFF" w:themeColor="background1"/>
        <w:insideV w:val="single" w:sz="4" w:space="0" w:color="FFFFFF" w:themeColor="background1"/>
      </w:tblBorders>
    </w:tblPr>
    <w:tcPr>
      <w:shd w:val="clear" w:color="auto" w:fill="FEF1E9" w:themeFill="accent2" w:themeFillTint="19"/>
    </w:tcPr>
    <w:tblStylePr w:type="firstRow">
      <w:rPr>
        <w:b/>
        <w:bCs/>
      </w:rPr>
      <w:tblPr/>
      <w:tcPr>
        <w:tcBorders>
          <w:top w:val="nil"/>
          <w:left w:val="nil"/>
          <w:bottom w:val="single" w:sz="24" w:space="0" w:color="F479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607" w:themeFill="accent2" w:themeFillShade="99"/>
      </w:tcPr>
    </w:tblStylePr>
    <w:tblStylePr w:type="firstCol">
      <w:rPr>
        <w:color w:val="FFFFFF" w:themeColor="background1"/>
      </w:rPr>
      <w:tblPr/>
      <w:tcPr>
        <w:tcBorders>
          <w:top w:val="nil"/>
          <w:left w:val="nil"/>
          <w:bottom w:val="nil"/>
          <w:right w:val="nil"/>
          <w:insideH w:val="single" w:sz="4" w:space="0" w:color="9D4607" w:themeColor="accent2" w:themeShade="99"/>
          <w:insideV w:val="nil"/>
        </w:tcBorders>
        <w:shd w:val="clear" w:color="auto" w:fill="9D46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607" w:themeFill="accent2" w:themeFillShade="99"/>
      </w:tcPr>
    </w:tblStylePr>
    <w:tblStylePr w:type="band1Vert">
      <w:tblPr/>
      <w:tcPr>
        <w:shd w:val="clear" w:color="auto" w:fill="FAC9A5" w:themeFill="accent2" w:themeFillTint="66"/>
      </w:tcPr>
    </w:tblStylePr>
    <w:tblStylePr w:type="band1Horz">
      <w:tblPr/>
      <w:tcPr>
        <w:shd w:val="clear" w:color="auto" w:fill="F9BC8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D7DCE2" w:themeColor="accent4"/>
        <w:left w:val="single" w:sz="4" w:space="0" w:color="68878E" w:themeColor="accent3"/>
        <w:bottom w:val="single" w:sz="4" w:space="0" w:color="68878E" w:themeColor="accent3"/>
        <w:right w:val="single" w:sz="4" w:space="0" w:color="68878E" w:themeColor="accent3"/>
        <w:insideH w:val="single" w:sz="4" w:space="0" w:color="FFFFFF" w:themeColor="background1"/>
        <w:insideV w:val="single" w:sz="4" w:space="0" w:color="FFFFFF" w:themeColor="background1"/>
      </w:tblBorders>
    </w:tblPr>
    <w:tcPr>
      <w:shd w:val="clear" w:color="auto" w:fill="EFF3F4" w:themeFill="accent3" w:themeFillTint="19"/>
    </w:tcPr>
    <w:tblStylePr w:type="firstRow">
      <w:rPr>
        <w:b/>
        <w:bCs/>
      </w:rPr>
      <w:tblPr/>
      <w:tcPr>
        <w:tcBorders>
          <w:top w:val="nil"/>
          <w:left w:val="nil"/>
          <w:bottom w:val="single" w:sz="24" w:space="0" w:color="D7DCE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055" w:themeFill="accent3" w:themeFillShade="99"/>
      </w:tcPr>
    </w:tblStylePr>
    <w:tblStylePr w:type="firstCol">
      <w:rPr>
        <w:color w:val="FFFFFF" w:themeColor="background1"/>
      </w:rPr>
      <w:tblPr/>
      <w:tcPr>
        <w:tcBorders>
          <w:top w:val="nil"/>
          <w:left w:val="nil"/>
          <w:bottom w:val="nil"/>
          <w:right w:val="nil"/>
          <w:insideH w:val="single" w:sz="4" w:space="0" w:color="3E5055" w:themeColor="accent3" w:themeShade="99"/>
          <w:insideV w:val="nil"/>
        </w:tcBorders>
        <w:shd w:val="clear" w:color="auto" w:fill="3E505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E5055" w:themeFill="accent3" w:themeFillShade="99"/>
      </w:tcPr>
    </w:tblStylePr>
    <w:tblStylePr w:type="band1Vert">
      <w:tblPr/>
      <w:tcPr>
        <w:shd w:val="clear" w:color="auto" w:fill="C2CFD2" w:themeFill="accent3" w:themeFillTint="66"/>
      </w:tcPr>
    </w:tblStylePr>
    <w:tblStylePr w:type="band1Horz">
      <w:tblPr/>
      <w:tcPr>
        <w:shd w:val="clear" w:color="auto" w:fill="B3C3C7"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68878E" w:themeColor="accent3"/>
        <w:left w:val="single" w:sz="4" w:space="0" w:color="D7DCE2" w:themeColor="accent4"/>
        <w:bottom w:val="single" w:sz="4" w:space="0" w:color="D7DCE2" w:themeColor="accent4"/>
        <w:right w:val="single" w:sz="4" w:space="0" w:color="D7DCE2" w:themeColor="accent4"/>
        <w:insideH w:val="single" w:sz="4" w:space="0" w:color="FFFFFF" w:themeColor="background1"/>
        <w:insideV w:val="single" w:sz="4" w:space="0" w:color="FFFFFF" w:themeColor="background1"/>
      </w:tblBorders>
    </w:tblPr>
    <w:tcPr>
      <w:shd w:val="clear" w:color="auto" w:fill="FAFBFC" w:themeFill="accent4" w:themeFillTint="19"/>
    </w:tcPr>
    <w:tblStylePr w:type="firstRow">
      <w:rPr>
        <w:b/>
        <w:bCs/>
      </w:rPr>
      <w:tblPr/>
      <w:tcPr>
        <w:tcBorders>
          <w:top w:val="nil"/>
          <w:left w:val="nil"/>
          <w:bottom w:val="single" w:sz="24" w:space="0" w:color="688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8297" w:themeFill="accent4" w:themeFillShade="99"/>
      </w:tcPr>
    </w:tblStylePr>
    <w:tblStylePr w:type="firstCol">
      <w:rPr>
        <w:color w:val="FFFFFF" w:themeColor="background1"/>
      </w:rPr>
      <w:tblPr/>
      <w:tcPr>
        <w:tcBorders>
          <w:top w:val="nil"/>
          <w:left w:val="nil"/>
          <w:bottom w:val="nil"/>
          <w:right w:val="nil"/>
          <w:insideH w:val="single" w:sz="4" w:space="0" w:color="708297" w:themeColor="accent4" w:themeShade="99"/>
          <w:insideV w:val="nil"/>
        </w:tcBorders>
        <w:shd w:val="clear" w:color="auto" w:fill="70829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08297" w:themeFill="accent4" w:themeFillShade="99"/>
      </w:tcPr>
    </w:tblStylePr>
    <w:tblStylePr w:type="band1Vert">
      <w:tblPr/>
      <w:tcPr>
        <w:shd w:val="clear" w:color="auto" w:fill="EEF0F3" w:themeFill="accent4" w:themeFillTint="66"/>
      </w:tcPr>
    </w:tblStylePr>
    <w:tblStylePr w:type="band1Horz">
      <w:tblPr/>
      <w:tcPr>
        <w:shd w:val="clear" w:color="auto" w:fill="EAEDF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EAEAEA" w:themeColor="accent6"/>
        <w:left w:val="single" w:sz="4" w:space="0" w:color="96A7E4" w:themeColor="accent5"/>
        <w:bottom w:val="single" w:sz="4" w:space="0" w:color="96A7E4" w:themeColor="accent5"/>
        <w:right w:val="single" w:sz="4" w:space="0" w:color="96A7E4" w:themeColor="accent5"/>
        <w:insideH w:val="single" w:sz="4" w:space="0" w:color="FFFFFF" w:themeColor="background1"/>
        <w:insideV w:val="single" w:sz="4" w:space="0" w:color="FFFFFF" w:themeColor="background1"/>
      </w:tblBorders>
    </w:tblPr>
    <w:tcPr>
      <w:shd w:val="clear" w:color="auto" w:fill="F4F6FC" w:themeFill="accent5" w:themeFillTint="19"/>
    </w:tcPr>
    <w:tblStylePr w:type="firstRow">
      <w:rPr>
        <w:b/>
        <w:bCs/>
      </w:rPr>
      <w:tblPr/>
      <w:tcPr>
        <w:tcBorders>
          <w:top w:val="nil"/>
          <w:left w:val="nil"/>
          <w:bottom w:val="single" w:sz="24" w:space="0" w:color="EAEAE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BB4" w:themeFill="accent5" w:themeFillShade="99"/>
      </w:tcPr>
    </w:tblStylePr>
    <w:tblStylePr w:type="firstCol">
      <w:rPr>
        <w:color w:val="FFFFFF" w:themeColor="background1"/>
      </w:rPr>
      <w:tblPr/>
      <w:tcPr>
        <w:tcBorders>
          <w:top w:val="nil"/>
          <w:left w:val="nil"/>
          <w:bottom w:val="nil"/>
          <w:right w:val="nil"/>
          <w:insideH w:val="single" w:sz="4" w:space="0" w:color="2E4BB4" w:themeColor="accent5" w:themeShade="99"/>
          <w:insideV w:val="nil"/>
        </w:tcBorders>
        <w:shd w:val="clear" w:color="auto" w:fill="2E4BB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4BB4" w:themeFill="accent5" w:themeFillShade="99"/>
      </w:tcPr>
    </w:tblStylePr>
    <w:tblStylePr w:type="band1Vert">
      <w:tblPr/>
      <w:tcPr>
        <w:shd w:val="clear" w:color="auto" w:fill="D4DBF4" w:themeFill="accent5" w:themeFillTint="66"/>
      </w:tcPr>
    </w:tblStylePr>
    <w:tblStylePr w:type="band1Horz">
      <w:tblPr/>
      <w:tcPr>
        <w:shd w:val="clear" w:color="auto" w:fill="CAD2F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96A7E4" w:themeColor="accent5"/>
        <w:left w:val="single" w:sz="4" w:space="0" w:color="EAEAEA" w:themeColor="accent6"/>
        <w:bottom w:val="single" w:sz="4" w:space="0" w:color="EAEAEA" w:themeColor="accent6"/>
        <w:right w:val="single" w:sz="4" w:space="0" w:color="EAEAEA" w:themeColor="accent6"/>
        <w:insideH w:val="single" w:sz="4" w:space="0" w:color="FFFFFF" w:themeColor="background1"/>
        <w:insideV w:val="single" w:sz="4" w:space="0" w:color="FFFFFF" w:themeColor="background1"/>
      </w:tblBorders>
    </w:tblPr>
    <w:tcPr>
      <w:shd w:val="clear" w:color="auto" w:fill="FCFCFC" w:themeFill="accent6" w:themeFillTint="19"/>
    </w:tcPr>
    <w:tblStylePr w:type="firstRow">
      <w:rPr>
        <w:b/>
        <w:bCs/>
      </w:rPr>
      <w:tblPr/>
      <w:tcPr>
        <w:tcBorders>
          <w:top w:val="nil"/>
          <w:left w:val="nil"/>
          <w:bottom w:val="single" w:sz="24" w:space="0" w:color="96A7E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8C8C" w:themeFill="accent6" w:themeFillShade="99"/>
      </w:tcPr>
    </w:tblStylePr>
    <w:tblStylePr w:type="firstCol">
      <w:rPr>
        <w:color w:val="FFFFFF" w:themeColor="background1"/>
      </w:rPr>
      <w:tblPr/>
      <w:tcPr>
        <w:tcBorders>
          <w:top w:val="nil"/>
          <w:left w:val="nil"/>
          <w:bottom w:val="nil"/>
          <w:right w:val="nil"/>
          <w:insideH w:val="single" w:sz="4" w:space="0" w:color="8C8C8C" w:themeColor="accent6" w:themeShade="99"/>
          <w:insideV w:val="nil"/>
        </w:tcBorders>
        <w:shd w:val="clear" w:color="auto" w:fill="8C8C8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8C8C" w:themeFill="accent6" w:themeFillShade="99"/>
      </w:tcPr>
    </w:tblStylePr>
    <w:tblStylePr w:type="band1Vert">
      <w:tblPr/>
      <w:tcPr>
        <w:shd w:val="clear" w:color="auto" w:fill="F6F6F6" w:themeFill="accent6" w:themeFillTint="66"/>
      </w:tcPr>
    </w:tblStylePr>
    <w:tblStylePr w:type="band1Horz">
      <w:tblPr/>
      <w:tcPr>
        <w:shd w:val="clear" w:color="auto" w:fill="F4F4F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pPr>
      <w:spacing w:line="240" w:lineRule="auto"/>
    </w:pPr>
  </w:style>
  <w:style w:type="character" w:customStyle="1" w:styleId="CommentTextChar">
    <w:name w:val="Comment Text Char"/>
    <w:basedOn w:val="DefaultParagraphFont"/>
    <w:link w:val="CommentText"/>
    <w:uiPriority w:val="99"/>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253D9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1E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B2D6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B2D6B" w:themeFill="accent1" w:themeFillShade="BF"/>
      </w:tcPr>
    </w:tblStylePr>
    <w:tblStylePr w:type="band1Vert">
      <w:tblPr/>
      <w:tcPr>
        <w:tcBorders>
          <w:top w:val="nil"/>
          <w:left w:val="nil"/>
          <w:bottom w:val="nil"/>
          <w:right w:val="nil"/>
          <w:insideH w:val="nil"/>
          <w:insideV w:val="nil"/>
        </w:tcBorders>
        <w:shd w:val="clear" w:color="auto" w:fill="1B2D6B" w:themeFill="accent1" w:themeFillShade="BF"/>
      </w:tcPr>
    </w:tblStylePr>
    <w:tblStylePr w:type="band1Horz">
      <w:tblPr/>
      <w:tcPr>
        <w:tcBorders>
          <w:top w:val="nil"/>
          <w:left w:val="nil"/>
          <w:bottom w:val="nil"/>
          <w:right w:val="nil"/>
          <w:insideH w:val="nil"/>
          <w:insideV w:val="nil"/>
        </w:tcBorders>
        <w:shd w:val="clear" w:color="auto" w:fill="1B2D6B"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F479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A0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80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809" w:themeFill="accent2" w:themeFillShade="BF"/>
      </w:tcPr>
    </w:tblStylePr>
    <w:tblStylePr w:type="band1Vert">
      <w:tblPr/>
      <w:tcPr>
        <w:tcBorders>
          <w:top w:val="nil"/>
          <w:left w:val="nil"/>
          <w:bottom w:val="nil"/>
          <w:right w:val="nil"/>
          <w:insideH w:val="nil"/>
          <w:insideV w:val="nil"/>
        </w:tcBorders>
        <w:shd w:val="clear" w:color="auto" w:fill="C45809" w:themeFill="accent2" w:themeFillShade="BF"/>
      </w:tcPr>
    </w:tblStylePr>
    <w:tblStylePr w:type="band1Horz">
      <w:tblPr/>
      <w:tcPr>
        <w:tcBorders>
          <w:top w:val="nil"/>
          <w:left w:val="nil"/>
          <w:bottom w:val="nil"/>
          <w:right w:val="nil"/>
          <w:insideH w:val="nil"/>
          <w:insideV w:val="nil"/>
        </w:tcBorders>
        <w:shd w:val="clear" w:color="auto" w:fill="C45809"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688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434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D646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D646A" w:themeFill="accent3" w:themeFillShade="BF"/>
      </w:tcPr>
    </w:tblStylePr>
    <w:tblStylePr w:type="band1Vert">
      <w:tblPr/>
      <w:tcPr>
        <w:tcBorders>
          <w:top w:val="nil"/>
          <w:left w:val="nil"/>
          <w:bottom w:val="nil"/>
          <w:right w:val="nil"/>
          <w:insideH w:val="nil"/>
          <w:insideV w:val="nil"/>
        </w:tcBorders>
        <w:shd w:val="clear" w:color="auto" w:fill="4D646A" w:themeFill="accent3" w:themeFillShade="BF"/>
      </w:tcPr>
    </w:tblStylePr>
    <w:tblStylePr w:type="band1Horz">
      <w:tblPr/>
      <w:tcPr>
        <w:tcBorders>
          <w:top w:val="nil"/>
          <w:left w:val="nil"/>
          <w:bottom w:val="nil"/>
          <w:right w:val="nil"/>
          <w:insideH w:val="nil"/>
          <w:insideV w:val="nil"/>
        </w:tcBorders>
        <w:shd w:val="clear" w:color="auto" w:fill="4D646A"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D7DCE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C6B7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6A3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6A3B3" w:themeFill="accent4" w:themeFillShade="BF"/>
      </w:tcPr>
    </w:tblStylePr>
    <w:tblStylePr w:type="band1Vert">
      <w:tblPr/>
      <w:tcPr>
        <w:tcBorders>
          <w:top w:val="nil"/>
          <w:left w:val="nil"/>
          <w:bottom w:val="nil"/>
          <w:right w:val="nil"/>
          <w:insideH w:val="nil"/>
          <w:insideV w:val="nil"/>
        </w:tcBorders>
        <w:shd w:val="clear" w:color="auto" w:fill="96A3B3" w:themeFill="accent4" w:themeFillShade="BF"/>
      </w:tcPr>
    </w:tblStylePr>
    <w:tblStylePr w:type="band1Horz">
      <w:tblPr/>
      <w:tcPr>
        <w:tcBorders>
          <w:top w:val="nil"/>
          <w:left w:val="nil"/>
          <w:bottom w:val="nil"/>
          <w:right w:val="nil"/>
          <w:insideH w:val="nil"/>
          <w:insideV w:val="nil"/>
        </w:tcBorders>
        <w:shd w:val="clear" w:color="auto" w:fill="96A3B3"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96A7E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3E9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A67D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A67D0" w:themeFill="accent5" w:themeFillShade="BF"/>
      </w:tcPr>
    </w:tblStylePr>
    <w:tblStylePr w:type="band1Vert">
      <w:tblPr/>
      <w:tcPr>
        <w:tcBorders>
          <w:top w:val="nil"/>
          <w:left w:val="nil"/>
          <w:bottom w:val="nil"/>
          <w:right w:val="nil"/>
          <w:insideH w:val="nil"/>
          <w:insideV w:val="nil"/>
        </w:tcBorders>
        <w:shd w:val="clear" w:color="auto" w:fill="4A67D0" w:themeFill="accent5" w:themeFillShade="BF"/>
      </w:tcPr>
    </w:tblStylePr>
    <w:tblStylePr w:type="band1Horz">
      <w:tblPr/>
      <w:tcPr>
        <w:tcBorders>
          <w:top w:val="nil"/>
          <w:left w:val="nil"/>
          <w:bottom w:val="nil"/>
          <w:right w:val="nil"/>
          <w:insideH w:val="nil"/>
          <w:insideV w:val="nil"/>
        </w:tcBorders>
        <w:shd w:val="clear" w:color="auto" w:fill="4A67D0"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EAEAE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747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AFA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AFAF" w:themeFill="accent6" w:themeFillShade="BF"/>
      </w:tcPr>
    </w:tblStylePr>
    <w:tblStylePr w:type="band1Vert">
      <w:tblPr/>
      <w:tcPr>
        <w:tcBorders>
          <w:top w:val="nil"/>
          <w:left w:val="nil"/>
          <w:bottom w:val="nil"/>
          <w:right w:val="nil"/>
          <w:insideH w:val="nil"/>
          <w:insideV w:val="nil"/>
        </w:tcBorders>
        <w:shd w:val="clear" w:color="auto" w:fill="AFAFAF" w:themeFill="accent6" w:themeFillShade="BF"/>
      </w:tcPr>
    </w:tblStylePr>
    <w:tblStylePr w:type="band1Horz">
      <w:tblPr/>
      <w:tcPr>
        <w:tcBorders>
          <w:top w:val="nil"/>
          <w:left w:val="nil"/>
          <w:bottom w:val="nil"/>
          <w:right w:val="nil"/>
          <w:insideH w:val="nil"/>
          <w:insideV w:val="nil"/>
        </w:tcBorders>
        <w:shd w:val="clear" w:color="auto" w:fill="AFAFAF" w:themeFill="accent6" w:themeFillShade="BF"/>
      </w:tcPr>
    </w:tblStylePr>
  </w:style>
  <w:style w:type="paragraph" w:styleId="Date">
    <w:name w:val="Date"/>
    <w:basedOn w:val="Normal"/>
    <w:next w:val="Normal"/>
    <w:link w:val="DateChar"/>
    <w:uiPriority w:val="99"/>
    <w:semiHidden/>
    <w:unhideWhenUs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pPr>
      <w:spacing w:after="0" w:line="240" w:lineRule="auto"/>
    </w:pPr>
  </w:style>
  <w:style w:type="character" w:customStyle="1" w:styleId="EndnoteTextChar">
    <w:name w:val="Endnote Text Char"/>
    <w:basedOn w:val="DefaultParagraphFont"/>
    <w:link w:val="EndnoteText"/>
    <w:uiPriority w:val="99"/>
    <w:rsid w:val="00E64743"/>
    <w:rPr>
      <w:sz w:val="16"/>
      <w:szCs w:val="20"/>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2A4827"/>
    <w:pPr>
      <w:spacing w:after="0" w:line="240" w:lineRule="auto"/>
      <w:ind w:left="170" w:hanging="170"/>
    </w:pPr>
    <w:rPr>
      <w:sz w:val="14"/>
    </w:rPr>
  </w:style>
  <w:style w:type="character" w:customStyle="1" w:styleId="FootnoteTextChar">
    <w:name w:val="Footnote Text Char"/>
    <w:basedOn w:val="DefaultParagraphFont"/>
    <w:link w:val="FootnoteText"/>
    <w:uiPriority w:val="99"/>
    <w:rsid w:val="002A4827"/>
    <w:rPr>
      <w:sz w:val="14"/>
    </w:rPr>
  </w:style>
  <w:style w:type="character" w:customStyle="1" w:styleId="Heading5Char">
    <w:name w:val="Heading 5 Char"/>
    <w:basedOn w:val="DefaultParagraphFont"/>
    <w:link w:val="Heading5"/>
    <w:uiPriority w:val="20"/>
    <w:semiHidden/>
    <w:rsid w:val="00360AA8"/>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20"/>
    <w:semiHidden/>
    <w:rsid w:val="00360AA8"/>
    <w:rPr>
      <w:rFonts w:asciiTheme="majorHAnsi" w:eastAsiaTheme="majorEastAsia" w:hAnsiTheme="majorHAnsi" w:cstheme="majorBidi"/>
      <w:iCs/>
    </w:rPr>
  </w:style>
  <w:style w:type="character" w:customStyle="1" w:styleId="Heading7Char">
    <w:name w:val="Heading 7 Char"/>
    <w:basedOn w:val="DefaultParagraphFont"/>
    <w:link w:val="Heading7"/>
    <w:uiPriority w:val="20"/>
    <w:semiHidden/>
    <w:rsid w:val="00360AA8"/>
    <w:rPr>
      <w:rFonts w:asciiTheme="majorHAnsi" w:eastAsiaTheme="majorEastAsia" w:hAnsiTheme="majorHAnsi" w:cstheme="majorBidi"/>
      <w:iCs/>
    </w:rPr>
  </w:style>
  <w:style w:type="character" w:customStyle="1" w:styleId="Heading8Char">
    <w:name w:val="Heading 8 Char"/>
    <w:basedOn w:val="DefaultParagraphFont"/>
    <w:link w:val="Heading8"/>
    <w:uiPriority w:val="20"/>
    <w:semiHidden/>
    <w:rsid w:val="00360AA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20"/>
    <w:semiHidden/>
    <w:rsid w:val="00360AA8"/>
    <w:rPr>
      <w:rFonts w:asciiTheme="majorHAnsi" w:eastAsiaTheme="majorEastAsia" w:hAnsiTheme="majorHAnsi" w:cstheme="majorBid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253D90"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53D90" w:themeColor="accent1"/>
      </w:pBdr>
      <w:spacing w:before="200" w:after="280"/>
      <w:ind w:left="936" w:right="936"/>
    </w:pPr>
    <w:rPr>
      <w:b/>
      <w:bCs/>
      <w:i/>
      <w:iCs/>
      <w:color w:val="253D90" w:themeColor="accent1"/>
    </w:rPr>
  </w:style>
  <w:style w:type="character" w:customStyle="1" w:styleId="IntenseQuoteChar">
    <w:name w:val="Intense Quote Char"/>
    <w:basedOn w:val="DefaultParagraphFont"/>
    <w:link w:val="IntenseQuote"/>
    <w:uiPriority w:val="30"/>
    <w:semiHidden/>
    <w:rsid w:val="00F80750"/>
    <w:rPr>
      <w:b/>
      <w:bCs/>
      <w:i/>
      <w:iCs/>
      <w:noProof w:val="0"/>
      <w:color w:val="253D90" w:themeColor="accent1"/>
      <w:lang w:val="en-AU"/>
    </w:rPr>
  </w:style>
  <w:style w:type="character" w:styleId="IntenseReference">
    <w:name w:val="Intense Reference"/>
    <w:basedOn w:val="DefaultParagraphFont"/>
    <w:uiPriority w:val="32"/>
    <w:semiHidden/>
    <w:qFormat/>
    <w:locked/>
    <w:rsid w:val="00F80750"/>
    <w:rPr>
      <w:b/>
      <w:bCs/>
      <w:smallCaps/>
      <w:noProof w:val="0"/>
      <w:color w:val="F47920"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253D90" w:themeColor="accent1"/>
        <w:left w:val="single" w:sz="8" w:space="0" w:color="253D90" w:themeColor="accent1"/>
        <w:bottom w:val="single" w:sz="8" w:space="0" w:color="253D90" w:themeColor="accent1"/>
        <w:right w:val="single" w:sz="8" w:space="0" w:color="253D90" w:themeColor="accent1"/>
        <w:insideH w:val="single" w:sz="8" w:space="0" w:color="253D90" w:themeColor="accent1"/>
        <w:insideV w:val="single" w:sz="8" w:space="0" w:color="253D9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53D90" w:themeColor="accent1"/>
          <w:left w:val="single" w:sz="8" w:space="0" w:color="253D90" w:themeColor="accent1"/>
          <w:bottom w:val="single" w:sz="18" w:space="0" w:color="253D90" w:themeColor="accent1"/>
          <w:right w:val="single" w:sz="8" w:space="0" w:color="253D90" w:themeColor="accent1"/>
          <w:insideH w:val="nil"/>
          <w:insideV w:val="single" w:sz="8" w:space="0" w:color="253D9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53D90" w:themeColor="accent1"/>
          <w:left w:val="single" w:sz="8" w:space="0" w:color="253D90" w:themeColor="accent1"/>
          <w:bottom w:val="single" w:sz="8" w:space="0" w:color="253D90" w:themeColor="accent1"/>
          <w:right w:val="single" w:sz="8" w:space="0" w:color="253D90" w:themeColor="accent1"/>
          <w:insideH w:val="nil"/>
          <w:insideV w:val="single" w:sz="8" w:space="0" w:color="253D9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53D90" w:themeColor="accent1"/>
          <w:left w:val="single" w:sz="8" w:space="0" w:color="253D90" w:themeColor="accent1"/>
          <w:bottom w:val="single" w:sz="8" w:space="0" w:color="253D90" w:themeColor="accent1"/>
          <w:right w:val="single" w:sz="8" w:space="0" w:color="253D90" w:themeColor="accent1"/>
        </w:tcBorders>
      </w:tcPr>
    </w:tblStylePr>
    <w:tblStylePr w:type="band1Vert">
      <w:tblPr/>
      <w:tcPr>
        <w:tcBorders>
          <w:top w:val="single" w:sz="8" w:space="0" w:color="253D90" w:themeColor="accent1"/>
          <w:left w:val="single" w:sz="8" w:space="0" w:color="253D90" w:themeColor="accent1"/>
          <w:bottom w:val="single" w:sz="8" w:space="0" w:color="253D90" w:themeColor="accent1"/>
          <w:right w:val="single" w:sz="8" w:space="0" w:color="253D90" w:themeColor="accent1"/>
        </w:tcBorders>
        <w:shd w:val="clear" w:color="auto" w:fill="BEC8EE" w:themeFill="accent1" w:themeFillTint="3F"/>
      </w:tcPr>
    </w:tblStylePr>
    <w:tblStylePr w:type="band1Horz">
      <w:tblPr/>
      <w:tcPr>
        <w:tcBorders>
          <w:top w:val="single" w:sz="8" w:space="0" w:color="253D90" w:themeColor="accent1"/>
          <w:left w:val="single" w:sz="8" w:space="0" w:color="253D90" w:themeColor="accent1"/>
          <w:bottom w:val="single" w:sz="8" w:space="0" w:color="253D90" w:themeColor="accent1"/>
          <w:right w:val="single" w:sz="8" w:space="0" w:color="253D90" w:themeColor="accent1"/>
          <w:insideV w:val="single" w:sz="8" w:space="0" w:color="253D90" w:themeColor="accent1"/>
        </w:tcBorders>
        <w:shd w:val="clear" w:color="auto" w:fill="BEC8EE" w:themeFill="accent1" w:themeFillTint="3F"/>
      </w:tcPr>
    </w:tblStylePr>
    <w:tblStylePr w:type="band2Horz">
      <w:tblPr/>
      <w:tcPr>
        <w:tcBorders>
          <w:top w:val="single" w:sz="8" w:space="0" w:color="253D90" w:themeColor="accent1"/>
          <w:left w:val="single" w:sz="8" w:space="0" w:color="253D90" w:themeColor="accent1"/>
          <w:bottom w:val="single" w:sz="8" w:space="0" w:color="253D90" w:themeColor="accent1"/>
          <w:right w:val="single" w:sz="8" w:space="0" w:color="253D90" w:themeColor="accent1"/>
          <w:insideV w:val="single" w:sz="8" w:space="0" w:color="253D90"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F47920" w:themeColor="accent2"/>
        <w:left w:val="single" w:sz="8" w:space="0" w:color="F47920" w:themeColor="accent2"/>
        <w:bottom w:val="single" w:sz="8" w:space="0" w:color="F47920" w:themeColor="accent2"/>
        <w:right w:val="single" w:sz="8" w:space="0" w:color="F47920" w:themeColor="accent2"/>
        <w:insideH w:val="single" w:sz="8" w:space="0" w:color="F47920" w:themeColor="accent2"/>
        <w:insideV w:val="single" w:sz="8" w:space="0" w:color="F479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7920" w:themeColor="accent2"/>
          <w:left w:val="single" w:sz="8" w:space="0" w:color="F47920" w:themeColor="accent2"/>
          <w:bottom w:val="single" w:sz="18" w:space="0" w:color="F47920" w:themeColor="accent2"/>
          <w:right w:val="single" w:sz="8" w:space="0" w:color="F47920" w:themeColor="accent2"/>
          <w:insideH w:val="nil"/>
          <w:insideV w:val="single" w:sz="8" w:space="0" w:color="F479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7920" w:themeColor="accent2"/>
          <w:left w:val="single" w:sz="8" w:space="0" w:color="F47920" w:themeColor="accent2"/>
          <w:bottom w:val="single" w:sz="8" w:space="0" w:color="F47920" w:themeColor="accent2"/>
          <w:right w:val="single" w:sz="8" w:space="0" w:color="F47920" w:themeColor="accent2"/>
          <w:insideH w:val="nil"/>
          <w:insideV w:val="single" w:sz="8" w:space="0" w:color="F479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7920" w:themeColor="accent2"/>
          <w:left w:val="single" w:sz="8" w:space="0" w:color="F47920" w:themeColor="accent2"/>
          <w:bottom w:val="single" w:sz="8" w:space="0" w:color="F47920" w:themeColor="accent2"/>
          <w:right w:val="single" w:sz="8" w:space="0" w:color="F47920" w:themeColor="accent2"/>
        </w:tcBorders>
      </w:tcPr>
    </w:tblStylePr>
    <w:tblStylePr w:type="band1Vert">
      <w:tblPr/>
      <w:tcPr>
        <w:tcBorders>
          <w:top w:val="single" w:sz="8" w:space="0" w:color="F47920" w:themeColor="accent2"/>
          <w:left w:val="single" w:sz="8" w:space="0" w:color="F47920" w:themeColor="accent2"/>
          <w:bottom w:val="single" w:sz="8" w:space="0" w:color="F47920" w:themeColor="accent2"/>
          <w:right w:val="single" w:sz="8" w:space="0" w:color="F47920" w:themeColor="accent2"/>
        </w:tcBorders>
        <w:shd w:val="clear" w:color="auto" w:fill="FCDDC7" w:themeFill="accent2" w:themeFillTint="3F"/>
      </w:tcPr>
    </w:tblStylePr>
    <w:tblStylePr w:type="band1Horz">
      <w:tblPr/>
      <w:tcPr>
        <w:tcBorders>
          <w:top w:val="single" w:sz="8" w:space="0" w:color="F47920" w:themeColor="accent2"/>
          <w:left w:val="single" w:sz="8" w:space="0" w:color="F47920" w:themeColor="accent2"/>
          <w:bottom w:val="single" w:sz="8" w:space="0" w:color="F47920" w:themeColor="accent2"/>
          <w:right w:val="single" w:sz="8" w:space="0" w:color="F47920" w:themeColor="accent2"/>
          <w:insideV w:val="single" w:sz="8" w:space="0" w:color="F47920" w:themeColor="accent2"/>
        </w:tcBorders>
        <w:shd w:val="clear" w:color="auto" w:fill="FCDDC7" w:themeFill="accent2" w:themeFillTint="3F"/>
      </w:tcPr>
    </w:tblStylePr>
    <w:tblStylePr w:type="band2Horz">
      <w:tblPr/>
      <w:tcPr>
        <w:tcBorders>
          <w:top w:val="single" w:sz="8" w:space="0" w:color="F47920" w:themeColor="accent2"/>
          <w:left w:val="single" w:sz="8" w:space="0" w:color="F47920" w:themeColor="accent2"/>
          <w:bottom w:val="single" w:sz="8" w:space="0" w:color="F47920" w:themeColor="accent2"/>
          <w:right w:val="single" w:sz="8" w:space="0" w:color="F47920" w:themeColor="accent2"/>
          <w:insideV w:val="single" w:sz="8" w:space="0" w:color="F47920"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68878E" w:themeColor="accent3"/>
        <w:left w:val="single" w:sz="8" w:space="0" w:color="68878E" w:themeColor="accent3"/>
        <w:bottom w:val="single" w:sz="8" w:space="0" w:color="68878E" w:themeColor="accent3"/>
        <w:right w:val="single" w:sz="8" w:space="0" w:color="68878E" w:themeColor="accent3"/>
        <w:insideH w:val="single" w:sz="8" w:space="0" w:color="68878E" w:themeColor="accent3"/>
        <w:insideV w:val="single" w:sz="8" w:space="0" w:color="688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8878E" w:themeColor="accent3"/>
          <w:left w:val="single" w:sz="8" w:space="0" w:color="68878E" w:themeColor="accent3"/>
          <w:bottom w:val="single" w:sz="18" w:space="0" w:color="68878E" w:themeColor="accent3"/>
          <w:right w:val="single" w:sz="8" w:space="0" w:color="68878E" w:themeColor="accent3"/>
          <w:insideH w:val="nil"/>
          <w:insideV w:val="single" w:sz="8" w:space="0" w:color="688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8878E" w:themeColor="accent3"/>
          <w:left w:val="single" w:sz="8" w:space="0" w:color="68878E" w:themeColor="accent3"/>
          <w:bottom w:val="single" w:sz="8" w:space="0" w:color="68878E" w:themeColor="accent3"/>
          <w:right w:val="single" w:sz="8" w:space="0" w:color="68878E" w:themeColor="accent3"/>
          <w:insideH w:val="nil"/>
          <w:insideV w:val="single" w:sz="8" w:space="0" w:color="688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8878E" w:themeColor="accent3"/>
          <w:left w:val="single" w:sz="8" w:space="0" w:color="68878E" w:themeColor="accent3"/>
          <w:bottom w:val="single" w:sz="8" w:space="0" w:color="68878E" w:themeColor="accent3"/>
          <w:right w:val="single" w:sz="8" w:space="0" w:color="68878E" w:themeColor="accent3"/>
        </w:tcBorders>
      </w:tcPr>
    </w:tblStylePr>
    <w:tblStylePr w:type="band1Vert">
      <w:tblPr/>
      <w:tcPr>
        <w:tcBorders>
          <w:top w:val="single" w:sz="8" w:space="0" w:color="68878E" w:themeColor="accent3"/>
          <w:left w:val="single" w:sz="8" w:space="0" w:color="68878E" w:themeColor="accent3"/>
          <w:bottom w:val="single" w:sz="8" w:space="0" w:color="68878E" w:themeColor="accent3"/>
          <w:right w:val="single" w:sz="8" w:space="0" w:color="68878E" w:themeColor="accent3"/>
        </w:tcBorders>
        <w:shd w:val="clear" w:color="auto" w:fill="D9E1E3" w:themeFill="accent3" w:themeFillTint="3F"/>
      </w:tcPr>
    </w:tblStylePr>
    <w:tblStylePr w:type="band1Horz">
      <w:tblPr/>
      <w:tcPr>
        <w:tcBorders>
          <w:top w:val="single" w:sz="8" w:space="0" w:color="68878E" w:themeColor="accent3"/>
          <w:left w:val="single" w:sz="8" w:space="0" w:color="68878E" w:themeColor="accent3"/>
          <w:bottom w:val="single" w:sz="8" w:space="0" w:color="68878E" w:themeColor="accent3"/>
          <w:right w:val="single" w:sz="8" w:space="0" w:color="68878E" w:themeColor="accent3"/>
          <w:insideV w:val="single" w:sz="8" w:space="0" w:color="68878E" w:themeColor="accent3"/>
        </w:tcBorders>
        <w:shd w:val="clear" w:color="auto" w:fill="D9E1E3" w:themeFill="accent3" w:themeFillTint="3F"/>
      </w:tcPr>
    </w:tblStylePr>
    <w:tblStylePr w:type="band2Horz">
      <w:tblPr/>
      <w:tcPr>
        <w:tcBorders>
          <w:top w:val="single" w:sz="8" w:space="0" w:color="68878E" w:themeColor="accent3"/>
          <w:left w:val="single" w:sz="8" w:space="0" w:color="68878E" w:themeColor="accent3"/>
          <w:bottom w:val="single" w:sz="8" w:space="0" w:color="68878E" w:themeColor="accent3"/>
          <w:right w:val="single" w:sz="8" w:space="0" w:color="68878E" w:themeColor="accent3"/>
          <w:insideV w:val="single" w:sz="8" w:space="0" w:color="68878E"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D7DCE2" w:themeColor="accent4"/>
        <w:left w:val="single" w:sz="8" w:space="0" w:color="D7DCE2" w:themeColor="accent4"/>
        <w:bottom w:val="single" w:sz="8" w:space="0" w:color="D7DCE2" w:themeColor="accent4"/>
        <w:right w:val="single" w:sz="8" w:space="0" w:color="D7DCE2" w:themeColor="accent4"/>
        <w:insideH w:val="single" w:sz="8" w:space="0" w:color="D7DCE2" w:themeColor="accent4"/>
        <w:insideV w:val="single" w:sz="8" w:space="0" w:color="D7DCE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DCE2" w:themeColor="accent4"/>
          <w:left w:val="single" w:sz="8" w:space="0" w:color="D7DCE2" w:themeColor="accent4"/>
          <w:bottom w:val="single" w:sz="18" w:space="0" w:color="D7DCE2" w:themeColor="accent4"/>
          <w:right w:val="single" w:sz="8" w:space="0" w:color="D7DCE2" w:themeColor="accent4"/>
          <w:insideH w:val="nil"/>
          <w:insideV w:val="single" w:sz="8" w:space="0" w:color="D7DCE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DCE2" w:themeColor="accent4"/>
          <w:left w:val="single" w:sz="8" w:space="0" w:color="D7DCE2" w:themeColor="accent4"/>
          <w:bottom w:val="single" w:sz="8" w:space="0" w:color="D7DCE2" w:themeColor="accent4"/>
          <w:right w:val="single" w:sz="8" w:space="0" w:color="D7DCE2" w:themeColor="accent4"/>
          <w:insideH w:val="nil"/>
          <w:insideV w:val="single" w:sz="8" w:space="0" w:color="D7DCE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DCE2" w:themeColor="accent4"/>
          <w:left w:val="single" w:sz="8" w:space="0" w:color="D7DCE2" w:themeColor="accent4"/>
          <w:bottom w:val="single" w:sz="8" w:space="0" w:color="D7DCE2" w:themeColor="accent4"/>
          <w:right w:val="single" w:sz="8" w:space="0" w:color="D7DCE2" w:themeColor="accent4"/>
        </w:tcBorders>
      </w:tcPr>
    </w:tblStylePr>
    <w:tblStylePr w:type="band1Vert">
      <w:tblPr/>
      <w:tcPr>
        <w:tcBorders>
          <w:top w:val="single" w:sz="8" w:space="0" w:color="D7DCE2" w:themeColor="accent4"/>
          <w:left w:val="single" w:sz="8" w:space="0" w:color="D7DCE2" w:themeColor="accent4"/>
          <w:bottom w:val="single" w:sz="8" w:space="0" w:color="D7DCE2" w:themeColor="accent4"/>
          <w:right w:val="single" w:sz="8" w:space="0" w:color="D7DCE2" w:themeColor="accent4"/>
        </w:tcBorders>
        <w:shd w:val="clear" w:color="auto" w:fill="F4F6F7" w:themeFill="accent4" w:themeFillTint="3F"/>
      </w:tcPr>
    </w:tblStylePr>
    <w:tblStylePr w:type="band1Horz">
      <w:tblPr/>
      <w:tcPr>
        <w:tcBorders>
          <w:top w:val="single" w:sz="8" w:space="0" w:color="D7DCE2" w:themeColor="accent4"/>
          <w:left w:val="single" w:sz="8" w:space="0" w:color="D7DCE2" w:themeColor="accent4"/>
          <w:bottom w:val="single" w:sz="8" w:space="0" w:color="D7DCE2" w:themeColor="accent4"/>
          <w:right w:val="single" w:sz="8" w:space="0" w:color="D7DCE2" w:themeColor="accent4"/>
          <w:insideV w:val="single" w:sz="8" w:space="0" w:color="D7DCE2" w:themeColor="accent4"/>
        </w:tcBorders>
        <w:shd w:val="clear" w:color="auto" w:fill="F4F6F7" w:themeFill="accent4" w:themeFillTint="3F"/>
      </w:tcPr>
    </w:tblStylePr>
    <w:tblStylePr w:type="band2Horz">
      <w:tblPr/>
      <w:tcPr>
        <w:tcBorders>
          <w:top w:val="single" w:sz="8" w:space="0" w:color="D7DCE2" w:themeColor="accent4"/>
          <w:left w:val="single" w:sz="8" w:space="0" w:color="D7DCE2" w:themeColor="accent4"/>
          <w:bottom w:val="single" w:sz="8" w:space="0" w:color="D7DCE2" w:themeColor="accent4"/>
          <w:right w:val="single" w:sz="8" w:space="0" w:color="D7DCE2" w:themeColor="accent4"/>
          <w:insideV w:val="single" w:sz="8" w:space="0" w:color="D7DCE2"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96A7E4" w:themeColor="accent5"/>
        <w:left w:val="single" w:sz="8" w:space="0" w:color="96A7E4" w:themeColor="accent5"/>
        <w:bottom w:val="single" w:sz="8" w:space="0" w:color="96A7E4" w:themeColor="accent5"/>
        <w:right w:val="single" w:sz="8" w:space="0" w:color="96A7E4" w:themeColor="accent5"/>
        <w:insideH w:val="single" w:sz="8" w:space="0" w:color="96A7E4" w:themeColor="accent5"/>
        <w:insideV w:val="single" w:sz="8" w:space="0" w:color="96A7E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A7E4" w:themeColor="accent5"/>
          <w:left w:val="single" w:sz="8" w:space="0" w:color="96A7E4" w:themeColor="accent5"/>
          <w:bottom w:val="single" w:sz="18" w:space="0" w:color="96A7E4" w:themeColor="accent5"/>
          <w:right w:val="single" w:sz="8" w:space="0" w:color="96A7E4" w:themeColor="accent5"/>
          <w:insideH w:val="nil"/>
          <w:insideV w:val="single" w:sz="8" w:space="0" w:color="96A7E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A7E4" w:themeColor="accent5"/>
          <w:left w:val="single" w:sz="8" w:space="0" w:color="96A7E4" w:themeColor="accent5"/>
          <w:bottom w:val="single" w:sz="8" w:space="0" w:color="96A7E4" w:themeColor="accent5"/>
          <w:right w:val="single" w:sz="8" w:space="0" w:color="96A7E4" w:themeColor="accent5"/>
          <w:insideH w:val="nil"/>
          <w:insideV w:val="single" w:sz="8" w:space="0" w:color="96A7E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A7E4" w:themeColor="accent5"/>
          <w:left w:val="single" w:sz="8" w:space="0" w:color="96A7E4" w:themeColor="accent5"/>
          <w:bottom w:val="single" w:sz="8" w:space="0" w:color="96A7E4" w:themeColor="accent5"/>
          <w:right w:val="single" w:sz="8" w:space="0" w:color="96A7E4" w:themeColor="accent5"/>
        </w:tcBorders>
      </w:tcPr>
    </w:tblStylePr>
    <w:tblStylePr w:type="band1Vert">
      <w:tblPr/>
      <w:tcPr>
        <w:tcBorders>
          <w:top w:val="single" w:sz="8" w:space="0" w:color="96A7E4" w:themeColor="accent5"/>
          <w:left w:val="single" w:sz="8" w:space="0" w:color="96A7E4" w:themeColor="accent5"/>
          <w:bottom w:val="single" w:sz="8" w:space="0" w:color="96A7E4" w:themeColor="accent5"/>
          <w:right w:val="single" w:sz="8" w:space="0" w:color="96A7E4" w:themeColor="accent5"/>
        </w:tcBorders>
        <w:shd w:val="clear" w:color="auto" w:fill="E5E9F8" w:themeFill="accent5" w:themeFillTint="3F"/>
      </w:tcPr>
    </w:tblStylePr>
    <w:tblStylePr w:type="band1Horz">
      <w:tblPr/>
      <w:tcPr>
        <w:tcBorders>
          <w:top w:val="single" w:sz="8" w:space="0" w:color="96A7E4" w:themeColor="accent5"/>
          <w:left w:val="single" w:sz="8" w:space="0" w:color="96A7E4" w:themeColor="accent5"/>
          <w:bottom w:val="single" w:sz="8" w:space="0" w:color="96A7E4" w:themeColor="accent5"/>
          <w:right w:val="single" w:sz="8" w:space="0" w:color="96A7E4" w:themeColor="accent5"/>
          <w:insideV w:val="single" w:sz="8" w:space="0" w:color="96A7E4" w:themeColor="accent5"/>
        </w:tcBorders>
        <w:shd w:val="clear" w:color="auto" w:fill="E5E9F8" w:themeFill="accent5" w:themeFillTint="3F"/>
      </w:tcPr>
    </w:tblStylePr>
    <w:tblStylePr w:type="band2Horz">
      <w:tblPr/>
      <w:tcPr>
        <w:tcBorders>
          <w:top w:val="single" w:sz="8" w:space="0" w:color="96A7E4" w:themeColor="accent5"/>
          <w:left w:val="single" w:sz="8" w:space="0" w:color="96A7E4" w:themeColor="accent5"/>
          <w:bottom w:val="single" w:sz="8" w:space="0" w:color="96A7E4" w:themeColor="accent5"/>
          <w:right w:val="single" w:sz="8" w:space="0" w:color="96A7E4" w:themeColor="accent5"/>
          <w:insideV w:val="single" w:sz="8" w:space="0" w:color="96A7E4"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EAEAEA" w:themeColor="accent6"/>
        <w:left w:val="single" w:sz="8" w:space="0" w:color="EAEAEA" w:themeColor="accent6"/>
        <w:bottom w:val="single" w:sz="8" w:space="0" w:color="EAEAEA" w:themeColor="accent6"/>
        <w:right w:val="single" w:sz="8" w:space="0" w:color="EAEAEA" w:themeColor="accent6"/>
        <w:insideH w:val="single" w:sz="8" w:space="0" w:color="EAEAEA" w:themeColor="accent6"/>
        <w:insideV w:val="single" w:sz="8" w:space="0" w:color="EAEAE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EAEA" w:themeColor="accent6"/>
          <w:left w:val="single" w:sz="8" w:space="0" w:color="EAEAEA" w:themeColor="accent6"/>
          <w:bottom w:val="single" w:sz="18" w:space="0" w:color="EAEAEA" w:themeColor="accent6"/>
          <w:right w:val="single" w:sz="8" w:space="0" w:color="EAEAEA" w:themeColor="accent6"/>
          <w:insideH w:val="nil"/>
          <w:insideV w:val="single" w:sz="8" w:space="0" w:color="EAEAE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EAEA" w:themeColor="accent6"/>
          <w:left w:val="single" w:sz="8" w:space="0" w:color="EAEAEA" w:themeColor="accent6"/>
          <w:bottom w:val="single" w:sz="8" w:space="0" w:color="EAEAEA" w:themeColor="accent6"/>
          <w:right w:val="single" w:sz="8" w:space="0" w:color="EAEAEA" w:themeColor="accent6"/>
          <w:insideH w:val="nil"/>
          <w:insideV w:val="single" w:sz="8" w:space="0" w:color="EAEAE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EAEA" w:themeColor="accent6"/>
          <w:left w:val="single" w:sz="8" w:space="0" w:color="EAEAEA" w:themeColor="accent6"/>
          <w:bottom w:val="single" w:sz="8" w:space="0" w:color="EAEAEA" w:themeColor="accent6"/>
          <w:right w:val="single" w:sz="8" w:space="0" w:color="EAEAEA" w:themeColor="accent6"/>
        </w:tcBorders>
      </w:tcPr>
    </w:tblStylePr>
    <w:tblStylePr w:type="band1Vert">
      <w:tblPr/>
      <w:tcPr>
        <w:tcBorders>
          <w:top w:val="single" w:sz="8" w:space="0" w:color="EAEAEA" w:themeColor="accent6"/>
          <w:left w:val="single" w:sz="8" w:space="0" w:color="EAEAEA" w:themeColor="accent6"/>
          <w:bottom w:val="single" w:sz="8" w:space="0" w:color="EAEAEA" w:themeColor="accent6"/>
          <w:right w:val="single" w:sz="8" w:space="0" w:color="EAEAEA" w:themeColor="accent6"/>
        </w:tcBorders>
        <w:shd w:val="clear" w:color="auto" w:fill="F9F9F9" w:themeFill="accent6" w:themeFillTint="3F"/>
      </w:tcPr>
    </w:tblStylePr>
    <w:tblStylePr w:type="band1Horz">
      <w:tblPr/>
      <w:tcPr>
        <w:tcBorders>
          <w:top w:val="single" w:sz="8" w:space="0" w:color="EAEAEA" w:themeColor="accent6"/>
          <w:left w:val="single" w:sz="8" w:space="0" w:color="EAEAEA" w:themeColor="accent6"/>
          <w:bottom w:val="single" w:sz="8" w:space="0" w:color="EAEAEA" w:themeColor="accent6"/>
          <w:right w:val="single" w:sz="8" w:space="0" w:color="EAEAEA" w:themeColor="accent6"/>
          <w:insideV w:val="single" w:sz="8" w:space="0" w:color="EAEAEA" w:themeColor="accent6"/>
        </w:tcBorders>
        <w:shd w:val="clear" w:color="auto" w:fill="F9F9F9" w:themeFill="accent6" w:themeFillTint="3F"/>
      </w:tcPr>
    </w:tblStylePr>
    <w:tblStylePr w:type="band2Horz">
      <w:tblPr/>
      <w:tcPr>
        <w:tcBorders>
          <w:top w:val="single" w:sz="8" w:space="0" w:color="EAEAEA" w:themeColor="accent6"/>
          <w:left w:val="single" w:sz="8" w:space="0" w:color="EAEAEA" w:themeColor="accent6"/>
          <w:bottom w:val="single" w:sz="8" w:space="0" w:color="EAEAEA" w:themeColor="accent6"/>
          <w:right w:val="single" w:sz="8" w:space="0" w:color="EAEAEA" w:themeColor="accent6"/>
          <w:insideV w:val="single" w:sz="8" w:space="0" w:color="EAEAEA"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253D90" w:themeColor="accent1"/>
        <w:left w:val="single" w:sz="8" w:space="0" w:color="253D90" w:themeColor="accent1"/>
        <w:bottom w:val="single" w:sz="8" w:space="0" w:color="253D90" w:themeColor="accent1"/>
        <w:right w:val="single" w:sz="8" w:space="0" w:color="253D90" w:themeColor="accent1"/>
      </w:tblBorders>
    </w:tblPr>
    <w:tblStylePr w:type="firstRow">
      <w:pPr>
        <w:spacing w:before="0" w:after="0" w:line="240" w:lineRule="auto"/>
      </w:pPr>
      <w:rPr>
        <w:b/>
        <w:bCs/>
        <w:color w:val="FFFFFF" w:themeColor="background1"/>
      </w:rPr>
      <w:tblPr/>
      <w:tcPr>
        <w:shd w:val="clear" w:color="auto" w:fill="253D90" w:themeFill="accent1"/>
      </w:tcPr>
    </w:tblStylePr>
    <w:tblStylePr w:type="lastRow">
      <w:pPr>
        <w:spacing w:before="0" w:after="0" w:line="240" w:lineRule="auto"/>
      </w:pPr>
      <w:rPr>
        <w:b/>
        <w:bCs/>
      </w:rPr>
      <w:tblPr/>
      <w:tcPr>
        <w:tcBorders>
          <w:top w:val="double" w:sz="6" w:space="0" w:color="253D90" w:themeColor="accent1"/>
          <w:left w:val="single" w:sz="8" w:space="0" w:color="253D90" w:themeColor="accent1"/>
          <w:bottom w:val="single" w:sz="8" w:space="0" w:color="253D90" w:themeColor="accent1"/>
          <w:right w:val="single" w:sz="8" w:space="0" w:color="253D90" w:themeColor="accent1"/>
        </w:tcBorders>
      </w:tcPr>
    </w:tblStylePr>
    <w:tblStylePr w:type="firstCol">
      <w:rPr>
        <w:b/>
        <w:bCs/>
      </w:rPr>
    </w:tblStylePr>
    <w:tblStylePr w:type="lastCol">
      <w:rPr>
        <w:b/>
        <w:bCs/>
      </w:rPr>
    </w:tblStylePr>
    <w:tblStylePr w:type="band1Vert">
      <w:tblPr/>
      <w:tcPr>
        <w:tcBorders>
          <w:top w:val="single" w:sz="8" w:space="0" w:color="253D90" w:themeColor="accent1"/>
          <w:left w:val="single" w:sz="8" w:space="0" w:color="253D90" w:themeColor="accent1"/>
          <w:bottom w:val="single" w:sz="8" w:space="0" w:color="253D90" w:themeColor="accent1"/>
          <w:right w:val="single" w:sz="8" w:space="0" w:color="253D90" w:themeColor="accent1"/>
        </w:tcBorders>
      </w:tcPr>
    </w:tblStylePr>
    <w:tblStylePr w:type="band1Horz">
      <w:tblPr/>
      <w:tcPr>
        <w:tcBorders>
          <w:top w:val="single" w:sz="8" w:space="0" w:color="253D90" w:themeColor="accent1"/>
          <w:left w:val="single" w:sz="8" w:space="0" w:color="253D90" w:themeColor="accent1"/>
          <w:bottom w:val="single" w:sz="8" w:space="0" w:color="253D90" w:themeColor="accent1"/>
          <w:right w:val="single" w:sz="8" w:space="0" w:color="253D90"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F47920" w:themeColor="accent2"/>
        <w:left w:val="single" w:sz="8" w:space="0" w:color="F47920" w:themeColor="accent2"/>
        <w:bottom w:val="single" w:sz="8" w:space="0" w:color="F47920" w:themeColor="accent2"/>
        <w:right w:val="single" w:sz="8" w:space="0" w:color="F47920" w:themeColor="accent2"/>
      </w:tblBorders>
    </w:tblPr>
    <w:tblStylePr w:type="firstRow">
      <w:pPr>
        <w:spacing w:before="0" w:after="0" w:line="240" w:lineRule="auto"/>
      </w:pPr>
      <w:rPr>
        <w:b/>
        <w:bCs/>
        <w:color w:val="FFFFFF" w:themeColor="background1"/>
      </w:rPr>
      <w:tblPr/>
      <w:tcPr>
        <w:shd w:val="clear" w:color="auto" w:fill="F47920" w:themeFill="accent2"/>
      </w:tcPr>
    </w:tblStylePr>
    <w:tblStylePr w:type="lastRow">
      <w:pPr>
        <w:spacing w:before="0" w:after="0" w:line="240" w:lineRule="auto"/>
      </w:pPr>
      <w:rPr>
        <w:b/>
        <w:bCs/>
      </w:rPr>
      <w:tblPr/>
      <w:tcPr>
        <w:tcBorders>
          <w:top w:val="double" w:sz="6" w:space="0" w:color="F47920" w:themeColor="accent2"/>
          <w:left w:val="single" w:sz="8" w:space="0" w:color="F47920" w:themeColor="accent2"/>
          <w:bottom w:val="single" w:sz="8" w:space="0" w:color="F47920" w:themeColor="accent2"/>
          <w:right w:val="single" w:sz="8" w:space="0" w:color="F47920" w:themeColor="accent2"/>
        </w:tcBorders>
      </w:tcPr>
    </w:tblStylePr>
    <w:tblStylePr w:type="firstCol">
      <w:rPr>
        <w:b/>
        <w:bCs/>
      </w:rPr>
    </w:tblStylePr>
    <w:tblStylePr w:type="lastCol">
      <w:rPr>
        <w:b/>
        <w:bCs/>
      </w:rPr>
    </w:tblStylePr>
    <w:tblStylePr w:type="band1Vert">
      <w:tblPr/>
      <w:tcPr>
        <w:tcBorders>
          <w:top w:val="single" w:sz="8" w:space="0" w:color="F47920" w:themeColor="accent2"/>
          <w:left w:val="single" w:sz="8" w:space="0" w:color="F47920" w:themeColor="accent2"/>
          <w:bottom w:val="single" w:sz="8" w:space="0" w:color="F47920" w:themeColor="accent2"/>
          <w:right w:val="single" w:sz="8" w:space="0" w:color="F47920" w:themeColor="accent2"/>
        </w:tcBorders>
      </w:tcPr>
    </w:tblStylePr>
    <w:tblStylePr w:type="band1Horz">
      <w:tblPr/>
      <w:tcPr>
        <w:tcBorders>
          <w:top w:val="single" w:sz="8" w:space="0" w:color="F47920" w:themeColor="accent2"/>
          <w:left w:val="single" w:sz="8" w:space="0" w:color="F47920" w:themeColor="accent2"/>
          <w:bottom w:val="single" w:sz="8" w:space="0" w:color="F47920" w:themeColor="accent2"/>
          <w:right w:val="single" w:sz="8" w:space="0" w:color="F47920"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68878E" w:themeColor="accent3"/>
        <w:left w:val="single" w:sz="8" w:space="0" w:color="68878E" w:themeColor="accent3"/>
        <w:bottom w:val="single" w:sz="8" w:space="0" w:color="68878E" w:themeColor="accent3"/>
        <w:right w:val="single" w:sz="8" w:space="0" w:color="68878E" w:themeColor="accent3"/>
      </w:tblBorders>
    </w:tblPr>
    <w:tblStylePr w:type="firstRow">
      <w:pPr>
        <w:spacing w:before="0" w:after="0" w:line="240" w:lineRule="auto"/>
      </w:pPr>
      <w:rPr>
        <w:b/>
        <w:bCs/>
        <w:color w:val="FFFFFF" w:themeColor="background1"/>
      </w:rPr>
      <w:tblPr/>
      <w:tcPr>
        <w:shd w:val="clear" w:color="auto" w:fill="68878E" w:themeFill="accent3"/>
      </w:tcPr>
    </w:tblStylePr>
    <w:tblStylePr w:type="lastRow">
      <w:pPr>
        <w:spacing w:before="0" w:after="0" w:line="240" w:lineRule="auto"/>
      </w:pPr>
      <w:rPr>
        <w:b/>
        <w:bCs/>
      </w:rPr>
      <w:tblPr/>
      <w:tcPr>
        <w:tcBorders>
          <w:top w:val="double" w:sz="6" w:space="0" w:color="68878E" w:themeColor="accent3"/>
          <w:left w:val="single" w:sz="8" w:space="0" w:color="68878E" w:themeColor="accent3"/>
          <w:bottom w:val="single" w:sz="8" w:space="0" w:color="68878E" w:themeColor="accent3"/>
          <w:right w:val="single" w:sz="8" w:space="0" w:color="68878E" w:themeColor="accent3"/>
        </w:tcBorders>
      </w:tcPr>
    </w:tblStylePr>
    <w:tblStylePr w:type="firstCol">
      <w:rPr>
        <w:b/>
        <w:bCs/>
      </w:rPr>
    </w:tblStylePr>
    <w:tblStylePr w:type="lastCol">
      <w:rPr>
        <w:b/>
        <w:bCs/>
      </w:rPr>
    </w:tblStylePr>
    <w:tblStylePr w:type="band1Vert">
      <w:tblPr/>
      <w:tcPr>
        <w:tcBorders>
          <w:top w:val="single" w:sz="8" w:space="0" w:color="68878E" w:themeColor="accent3"/>
          <w:left w:val="single" w:sz="8" w:space="0" w:color="68878E" w:themeColor="accent3"/>
          <w:bottom w:val="single" w:sz="8" w:space="0" w:color="68878E" w:themeColor="accent3"/>
          <w:right w:val="single" w:sz="8" w:space="0" w:color="68878E" w:themeColor="accent3"/>
        </w:tcBorders>
      </w:tcPr>
    </w:tblStylePr>
    <w:tblStylePr w:type="band1Horz">
      <w:tblPr/>
      <w:tcPr>
        <w:tcBorders>
          <w:top w:val="single" w:sz="8" w:space="0" w:color="68878E" w:themeColor="accent3"/>
          <w:left w:val="single" w:sz="8" w:space="0" w:color="68878E" w:themeColor="accent3"/>
          <w:bottom w:val="single" w:sz="8" w:space="0" w:color="68878E" w:themeColor="accent3"/>
          <w:right w:val="single" w:sz="8" w:space="0" w:color="68878E"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D7DCE2" w:themeColor="accent4"/>
        <w:left w:val="single" w:sz="8" w:space="0" w:color="D7DCE2" w:themeColor="accent4"/>
        <w:bottom w:val="single" w:sz="8" w:space="0" w:color="D7DCE2" w:themeColor="accent4"/>
        <w:right w:val="single" w:sz="8" w:space="0" w:color="D7DCE2" w:themeColor="accent4"/>
      </w:tblBorders>
    </w:tblPr>
    <w:tblStylePr w:type="firstRow">
      <w:pPr>
        <w:spacing w:before="0" w:after="0" w:line="240" w:lineRule="auto"/>
      </w:pPr>
      <w:rPr>
        <w:b/>
        <w:bCs/>
        <w:color w:val="FFFFFF" w:themeColor="background1"/>
      </w:rPr>
      <w:tblPr/>
      <w:tcPr>
        <w:shd w:val="clear" w:color="auto" w:fill="D7DCE2" w:themeFill="accent4"/>
      </w:tcPr>
    </w:tblStylePr>
    <w:tblStylePr w:type="lastRow">
      <w:pPr>
        <w:spacing w:before="0" w:after="0" w:line="240" w:lineRule="auto"/>
      </w:pPr>
      <w:rPr>
        <w:b/>
        <w:bCs/>
      </w:rPr>
      <w:tblPr/>
      <w:tcPr>
        <w:tcBorders>
          <w:top w:val="double" w:sz="6" w:space="0" w:color="D7DCE2" w:themeColor="accent4"/>
          <w:left w:val="single" w:sz="8" w:space="0" w:color="D7DCE2" w:themeColor="accent4"/>
          <w:bottom w:val="single" w:sz="8" w:space="0" w:color="D7DCE2" w:themeColor="accent4"/>
          <w:right w:val="single" w:sz="8" w:space="0" w:color="D7DCE2" w:themeColor="accent4"/>
        </w:tcBorders>
      </w:tcPr>
    </w:tblStylePr>
    <w:tblStylePr w:type="firstCol">
      <w:rPr>
        <w:b/>
        <w:bCs/>
      </w:rPr>
    </w:tblStylePr>
    <w:tblStylePr w:type="lastCol">
      <w:rPr>
        <w:b/>
        <w:bCs/>
      </w:rPr>
    </w:tblStylePr>
    <w:tblStylePr w:type="band1Vert">
      <w:tblPr/>
      <w:tcPr>
        <w:tcBorders>
          <w:top w:val="single" w:sz="8" w:space="0" w:color="D7DCE2" w:themeColor="accent4"/>
          <w:left w:val="single" w:sz="8" w:space="0" w:color="D7DCE2" w:themeColor="accent4"/>
          <w:bottom w:val="single" w:sz="8" w:space="0" w:color="D7DCE2" w:themeColor="accent4"/>
          <w:right w:val="single" w:sz="8" w:space="0" w:color="D7DCE2" w:themeColor="accent4"/>
        </w:tcBorders>
      </w:tcPr>
    </w:tblStylePr>
    <w:tblStylePr w:type="band1Horz">
      <w:tblPr/>
      <w:tcPr>
        <w:tcBorders>
          <w:top w:val="single" w:sz="8" w:space="0" w:color="D7DCE2" w:themeColor="accent4"/>
          <w:left w:val="single" w:sz="8" w:space="0" w:color="D7DCE2" w:themeColor="accent4"/>
          <w:bottom w:val="single" w:sz="8" w:space="0" w:color="D7DCE2" w:themeColor="accent4"/>
          <w:right w:val="single" w:sz="8" w:space="0" w:color="D7DCE2"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96A7E4" w:themeColor="accent5"/>
        <w:left w:val="single" w:sz="8" w:space="0" w:color="96A7E4" w:themeColor="accent5"/>
        <w:bottom w:val="single" w:sz="8" w:space="0" w:color="96A7E4" w:themeColor="accent5"/>
        <w:right w:val="single" w:sz="8" w:space="0" w:color="96A7E4" w:themeColor="accent5"/>
      </w:tblBorders>
    </w:tblPr>
    <w:tblStylePr w:type="firstRow">
      <w:pPr>
        <w:spacing w:before="0" w:after="0" w:line="240" w:lineRule="auto"/>
      </w:pPr>
      <w:rPr>
        <w:b/>
        <w:bCs/>
        <w:color w:val="FFFFFF" w:themeColor="background1"/>
      </w:rPr>
      <w:tblPr/>
      <w:tcPr>
        <w:shd w:val="clear" w:color="auto" w:fill="96A7E4" w:themeFill="accent5"/>
      </w:tcPr>
    </w:tblStylePr>
    <w:tblStylePr w:type="lastRow">
      <w:pPr>
        <w:spacing w:before="0" w:after="0" w:line="240" w:lineRule="auto"/>
      </w:pPr>
      <w:rPr>
        <w:b/>
        <w:bCs/>
      </w:rPr>
      <w:tblPr/>
      <w:tcPr>
        <w:tcBorders>
          <w:top w:val="double" w:sz="6" w:space="0" w:color="96A7E4" w:themeColor="accent5"/>
          <w:left w:val="single" w:sz="8" w:space="0" w:color="96A7E4" w:themeColor="accent5"/>
          <w:bottom w:val="single" w:sz="8" w:space="0" w:color="96A7E4" w:themeColor="accent5"/>
          <w:right w:val="single" w:sz="8" w:space="0" w:color="96A7E4" w:themeColor="accent5"/>
        </w:tcBorders>
      </w:tcPr>
    </w:tblStylePr>
    <w:tblStylePr w:type="firstCol">
      <w:rPr>
        <w:b/>
        <w:bCs/>
      </w:rPr>
    </w:tblStylePr>
    <w:tblStylePr w:type="lastCol">
      <w:rPr>
        <w:b/>
        <w:bCs/>
      </w:rPr>
    </w:tblStylePr>
    <w:tblStylePr w:type="band1Vert">
      <w:tblPr/>
      <w:tcPr>
        <w:tcBorders>
          <w:top w:val="single" w:sz="8" w:space="0" w:color="96A7E4" w:themeColor="accent5"/>
          <w:left w:val="single" w:sz="8" w:space="0" w:color="96A7E4" w:themeColor="accent5"/>
          <w:bottom w:val="single" w:sz="8" w:space="0" w:color="96A7E4" w:themeColor="accent5"/>
          <w:right w:val="single" w:sz="8" w:space="0" w:color="96A7E4" w:themeColor="accent5"/>
        </w:tcBorders>
      </w:tcPr>
    </w:tblStylePr>
    <w:tblStylePr w:type="band1Horz">
      <w:tblPr/>
      <w:tcPr>
        <w:tcBorders>
          <w:top w:val="single" w:sz="8" w:space="0" w:color="96A7E4" w:themeColor="accent5"/>
          <w:left w:val="single" w:sz="8" w:space="0" w:color="96A7E4" w:themeColor="accent5"/>
          <w:bottom w:val="single" w:sz="8" w:space="0" w:color="96A7E4" w:themeColor="accent5"/>
          <w:right w:val="single" w:sz="8" w:space="0" w:color="96A7E4"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EAEAEA" w:themeColor="accent6"/>
        <w:left w:val="single" w:sz="8" w:space="0" w:color="EAEAEA" w:themeColor="accent6"/>
        <w:bottom w:val="single" w:sz="8" w:space="0" w:color="EAEAEA" w:themeColor="accent6"/>
        <w:right w:val="single" w:sz="8" w:space="0" w:color="EAEAEA" w:themeColor="accent6"/>
      </w:tblBorders>
    </w:tblPr>
    <w:tblStylePr w:type="firstRow">
      <w:pPr>
        <w:spacing w:before="0" w:after="0" w:line="240" w:lineRule="auto"/>
      </w:pPr>
      <w:rPr>
        <w:b/>
        <w:bCs/>
        <w:color w:val="FFFFFF" w:themeColor="background1"/>
      </w:rPr>
      <w:tblPr/>
      <w:tcPr>
        <w:shd w:val="clear" w:color="auto" w:fill="EAEAEA" w:themeFill="accent6"/>
      </w:tcPr>
    </w:tblStylePr>
    <w:tblStylePr w:type="lastRow">
      <w:pPr>
        <w:spacing w:before="0" w:after="0" w:line="240" w:lineRule="auto"/>
      </w:pPr>
      <w:rPr>
        <w:b/>
        <w:bCs/>
      </w:rPr>
      <w:tblPr/>
      <w:tcPr>
        <w:tcBorders>
          <w:top w:val="double" w:sz="6" w:space="0" w:color="EAEAEA" w:themeColor="accent6"/>
          <w:left w:val="single" w:sz="8" w:space="0" w:color="EAEAEA" w:themeColor="accent6"/>
          <w:bottom w:val="single" w:sz="8" w:space="0" w:color="EAEAEA" w:themeColor="accent6"/>
          <w:right w:val="single" w:sz="8" w:space="0" w:color="EAEAEA" w:themeColor="accent6"/>
        </w:tcBorders>
      </w:tcPr>
    </w:tblStylePr>
    <w:tblStylePr w:type="firstCol">
      <w:rPr>
        <w:b/>
        <w:bCs/>
      </w:rPr>
    </w:tblStylePr>
    <w:tblStylePr w:type="lastCol">
      <w:rPr>
        <w:b/>
        <w:bCs/>
      </w:rPr>
    </w:tblStylePr>
    <w:tblStylePr w:type="band1Vert">
      <w:tblPr/>
      <w:tcPr>
        <w:tcBorders>
          <w:top w:val="single" w:sz="8" w:space="0" w:color="EAEAEA" w:themeColor="accent6"/>
          <w:left w:val="single" w:sz="8" w:space="0" w:color="EAEAEA" w:themeColor="accent6"/>
          <w:bottom w:val="single" w:sz="8" w:space="0" w:color="EAEAEA" w:themeColor="accent6"/>
          <w:right w:val="single" w:sz="8" w:space="0" w:color="EAEAEA" w:themeColor="accent6"/>
        </w:tcBorders>
      </w:tcPr>
    </w:tblStylePr>
    <w:tblStylePr w:type="band1Horz">
      <w:tblPr/>
      <w:tcPr>
        <w:tcBorders>
          <w:top w:val="single" w:sz="8" w:space="0" w:color="EAEAEA" w:themeColor="accent6"/>
          <w:left w:val="single" w:sz="8" w:space="0" w:color="EAEAEA" w:themeColor="accent6"/>
          <w:bottom w:val="single" w:sz="8" w:space="0" w:color="EAEAEA" w:themeColor="accent6"/>
          <w:right w:val="single" w:sz="8" w:space="0" w:color="EAEAEA"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1B2D6B" w:themeColor="accent1" w:themeShade="BF"/>
    </w:rPr>
    <w:tblPr>
      <w:tblStyleRowBandSize w:val="1"/>
      <w:tblStyleColBandSize w:val="1"/>
      <w:tblBorders>
        <w:top w:val="single" w:sz="8" w:space="0" w:color="253D90" w:themeColor="accent1"/>
        <w:bottom w:val="single" w:sz="8" w:space="0" w:color="253D90" w:themeColor="accent1"/>
      </w:tblBorders>
    </w:tblPr>
    <w:tblStylePr w:type="firstRow">
      <w:pPr>
        <w:spacing w:before="0" w:after="0" w:line="240" w:lineRule="auto"/>
      </w:pPr>
      <w:rPr>
        <w:b/>
        <w:bCs/>
      </w:rPr>
      <w:tblPr/>
      <w:tcPr>
        <w:tcBorders>
          <w:top w:val="single" w:sz="8" w:space="0" w:color="253D90" w:themeColor="accent1"/>
          <w:left w:val="nil"/>
          <w:bottom w:val="single" w:sz="8" w:space="0" w:color="253D90" w:themeColor="accent1"/>
          <w:right w:val="nil"/>
          <w:insideH w:val="nil"/>
          <w:insideV w:val="nil"/>
        </w:tcBorders>
      </w:tcPr>
    </w:tblStylePr>
    <w:tblStylePr w:type="lastRow">
      <w:pPr>
        <w:spacing w:before="0" w:after="0" w:line="240" w:lineRule="auto"/>
      </w:pPr>
      <w:rPr>
        <w:b/>
        <w:bCs/>
      </w:rPr>
      <w:tblPr/>
      <w:tcPr>
        <w:tcBorders>
          <w:top w:val="single" w:sz="8" w:space="0" w:color="253D90" w:themeColor="accent1"/>
          <w:left w:val="nil"/>
          <w:bottom w:val="single" w:sz="8" w:space="0" w:color="253D9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C8EE" w:themeFill="accent1" w:themeFillTint="3F"/>
      </w:tcPr>
    </w:tblStylePr>
    <w:tblStylePr w:type="band1Horz">
      <w:tblPr/>
      <w:tcPr>
        <w:tcBorders>
          <w:left w:val="nil"/>
          <w:right w:val="nil"/>
          <w:insideH w:val="nil"/>
          <w:insideV w:val="nil"/>
        </w:tcBorders>
        <w:shd w:val="clear" w:color="auto" w:fill="BEC8EE" w:themeFill="accent1" w:themeFillTint="3F"/>
      </w:tcPr>
    </w:tblStylePr>
  </w:style>
  <w:style w:type="table" w:styleId="LightShading-Accent2">
    <w:name w:val="Light Shading Accent 2"/>
    <w:basedOn w:val="TableNormal"/>
    <w:uiPriority w:val="60"/>
    <w:locked/>
    <w:rsid w:val="00F80750"/>
    <w:pPr>
      <w:spacing w:after="0" w:line="240" w:lineRule="auto"/>
    </w:pPr>
    <w:rPr>
      <w:color w:val="C45809" w:themeColor="accent2" w:themeShade="BF"/>
    </w:rPr>
    <w:tblPr>
      <w:tblStyleRowBandSize w:val="1"/>
      <w:tblStyleColBandSize w:val="1"/>
      <w:tblBorders>
        <w:top w:val="single" w:sz="8" w:space="0" w:color="F47920" w:themeColor="accent2"/>
        <w:bottom w:val="single" w:sz="8" w:space="0" w:color="F47920" w:themeColor="accent2"/>
      </w:tblBorders>
    </w:tblPr>
    <w:tblStylePr w:type="firstRow">
      <w:pPr>
        <w:spacing w:before="0" w:after="0" w:line="240" w:lineRule="auto"/>
      </w:pPr>
      <w:rPr>
        <w:b/>
        <w:bCs/>
      </w:rPr>
      <w:tblPr/>
      <w:tcPr>
        <w:tcBorders>
          <w:top w:val="single" w:sz="8" w:space="0" w:color="F47920" w:themeColor="accent2"/>
          <w:left w:val="nil"/>
          <w:bottom w:val="single" w:sz="8" w:space="0" w:color="F47920" w:themeColor="accent2"/>
          <w:right w:val="nil"/>
          <w:insideH w:val="nil"/>
          <w:insideV w:val="nil"/>
        </w:tcBorders>
      </w:tcPr>
    </w:tblStylePr>
    <w:tblStylePr w:type="lastRow">
      <w:pPr>
        <w:spacing w:before="0" w:after="0" w:line="240" w:lineRule="auto"/>
      </w:pPr>
      <w:rPr>
        <w:b/>
        <w:bCs/>
      </w:rPr>
      <w:tblPr/>
      <w:tcPr>
        <w:tcBorders>
          <w:top w:val="single" w:sz="8" w:space="0" w:color="F47920" w:themeColor="accent2"/>
          <w:left w:val="nil"/>
          <w:bottom w:val="single" w:sz="8" w:space="0" w:color="F479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DC7" w:themeFill="accent2" w:themeFillTint="3F"/>
      </w:tcPr>
    </w:tblStylePr>
    <w:tblStylePr w:type="band1Horz">
      <w:tblPr/>
      <w:tcPr>
        <w:tcBorders>
          <w:left w:val="nil"/>
          <w:right w:val="nil"/>
          <w:insideH w:val="nil"/>
          <w:insideV w:val="nil"/>
        </w:tcBorders>
        <w:shd w:val="clear" w:color="auto" w:fill="FCDDC7" w:themeFill="accent2" w:themeFillTint="3F"/>
      </w:tcPr>
    </w:tblStylePr>
  </w:style>
  <w:style w:type="table" w:styleId="LightShading-Accent3">
    <w:name w:val="Light Shading Accent 3"/>
    <w:basedOn w:val="TableNormal"/>
    <w:uiPriority w:val="60"/>
    <w:locked/>
    <w:rsid w:val="00F80750"/>
    <w:pPr>
      <w:spacing w:after="0" w:line="240" w:lineRule="auto"/>
    </w:pPr>
    <w:rPr>
      <w:color w:val="4D646A" w:themeColor="accent3" w:themeShade="BF"/>
    </w:rPr>
    <w:tblPr>
      <w:tblStyleRowBandSize w:val="1"/>
      <w:tblStyleColBandSize w:val="1"/>
      <w:tblBorders>
        <w:top w:val="single" w:sz="8" w:space="0" w:color="68878E" w:themeColor="accent3"/>
        <w:bottom w:val="single" w:sz="8" w:space="0" w:color="68878E" w:themeColor="accent3"/>
      </w:tblBorders>
    </w:tblPr>
    <w:tblStylePr w:type="firstRow">
      <w:pPr>
        <w:spacing w:before="0" w:after="0" w:line="240" w:lineRule="auto"/>
      </w:pPr>
      <w:rPr>
        <w:b/>
        <w:bCs/>
      </w:rPr>
      <w:tblPr/>
      <w:tcPr>
        <w:tcBorders>
          <w:top w:val="single" w:sz="8" w:space="0" w:color="68878E" w:themeColor="accent3"/>
          <w:left w:val="nil"/>
          <w:bottom w:val="single" w:sz="8" w:space="0" w:color="68878E" w:themeColor="accent3"/>
          <w:right w:val="nil"/>
          <w:insideH w:val="nil"/>
          <w:insideV w:val="nil"/>
        </w:tcBorders>
      </w:tcPr>
    </w:tblStylePr>
    <w:tblStylePr w:type="lastRow">
      <w:pPr>
        <w:spacing w:before="0" w:after="0" w:line="240" w:lineRule="auto"/>
      </w:pPr>
      <w:rPr>
        <w:b/>
        <w:bCs/>
      </w:rPr>
      <w:tblPr/>
      <w:tcPr>
        <w:tcBorders>
          <w:top w:val="single" w:sz="8" w:space="0" w:color="68878E" w:themeColor="accent3"/>
          <w:left w:val="nil"/>
          <w:bottom w:val="single" w:sz="8" w:space="0" w:color="688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E3" w:themeFill="accent3" w:themeFillTint="3F"/>
      </w:tcPr>
    </w:tblStylePr>
    <w:tblStylePr w:type="band1Horz">
      <w:tblPr/>
      <w:tcPr>
        <w:tcBorders>
          <w:left w:val="nil"/>
          <w:right w:val="nil"/>
          <w:insideH w:val="nil"/>
          <w:insideV w:val="nil"/>
        </w:tcBorders>
        <w:shd w:val="clear" w:color="auto" w:fill="D9E1E3" w:themeFill="accent3" w:themeFillTint="3F"/>
      </w:tcPr>
    </w:tblStylePr>
  </w:style>
  <w:style w:type="table" w:styleId="LightShading-Accent4">
    <w:name w:val="Light Shading Accent 4"/>
    <w:basedOn w:val="TableNormal"/>
    <w:uiPriority w:val="60"/>
    <w:locked/>
    <w:rsid w:val="00F80750"/>
    <w:pPr>
      <w:spacing w:after="0" w:line="240" w:lineRule="auto"/>
    </w:pPr>
    <w:rPr>
      <w:color w:val="96A3B3" w:themeColor="accent4" w:themeShade="BF"/>
    </w:rPr>
    <w:tblPr>
      <w:tblStyleRowBandSize w:val="1"/>
      <w:tblStyleColBandSize w:val="1"/>
      <w:tblBorders>
        <w:top w:val="single" w:sz="8" w:space="0" w:color="D7DCE2" w:themeColor="accent4"/>
        <w:bottom w:val="single" w:sz="8" w:space="0" w:color="D7DCE2" w:themeColor="accent4"/>
      </w:tblBorders>
    </w:tblPr>
    <w:tblStylePr w:type="firstRow">
      <w:pPr>
        <w:spacing w:before="0" w:after="0" w:line="240" w:lineRule="auto"/>
      </w:pPr>
      <w:rPr>
        <w:b/>
        <w:bCs/>
      </w:rPr>
      <w:tblPr/>
      <w:tcPr>
        <w:tcBorders>
          <w:top w:val="single" w:sz="8" w:space="0" w:color="D7DCE2" w:themeColor="accent4"/>
          <w:left w:val="nil"/>
          <w:bottom w:val="single" w:sz="8" w:space="0" w:color="D7DCE2" w:themeColor="accent4"/>
          <w:right w:val="nil"/>
          <w:insideH w:val="nil"/>
          <w:insideV w:val="nil"/>
        </w:tcBorders>
      </w:tcPr>
    </w:tblStylePr>
    <w:tblStylePr w:type="lastRow">
      <w:pPr>
        <w:spacing w:before="0" w:after="0" w:line="240" w:lineRule="auto"/>
      </w:pPr>
      <w:rPr>
        <w:b/>
        <w:bCs/>
      </w:rPr>
      <w:tblPr/>
      <w:tcPr>
        <w:tcBorders>
          <w:top w:val="single" w:sz="8" w:space="0" w:color="D7DCE2" w:themeColor="accent4"/>
          <w:left w:val="nil"/>
          <w:bottom w:val="single" w:sz="8" w:space="0" w:color="D7DCE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6F7" w:themeFill="accent4" w:themeFillTint="3F"/>
      </w:tcPr>
    </w:tblStylePr>
    <w:tblStylePr w:type="band1Horz">
      <w:tblPr/>
      <w:tcPr>
        <w:tcBorders>
          <w:left w:val="nil"/>
          <w:right w:val="nil"/>
          <w:insideH w:val="nil"/>
          <w:insideV w:val="nil"/>
        </w:tcBorders>
        <w:shd w:val="clear" w:color="auto" w:fill="F4F6F7" w:themeFill="accent4" w:themeFillTint="3F"/>
      </w:tcPr>
    </w:tblStylePr>
  </w:style>
  <w:style w:type="table" w:styleId="LightShading-Accent5">
    <w:name w:val="Light Shading Accent 5"/>
    <w:basedOn w:val="TableNormal"/>
    <w:uiPriority w:val="60"/>
    <w:locked/>
    <w:rsid w:val="00F80750"/>
    <w:pPr>
      <w:spacing w:after="0" w:line="240" w:lineRule="auto"/>
    </w:pPr>
    <w:rPr>
      <w:color w:val="4A67D0" w:themeColor="accent5" w:themeShade="BF"/>
    </w:rPr>
    <w:tblPr>
      <w:tblStyleRowBandSize w:val="1"/>
      <w:tblStyleColBandSize w:val="1"/>
      <w:tblBorders>
        <w:top w:val="single" w:sz="8" w:space="0" w:color="96A7E4" w:themeColor="accent5"/>
        <w:bottom w:val="single" w:sz="8" w:space="0" w:color="96A7E4" w:themeColor="accent5"/>
      </w:tblBorders>
    </w:tblPr>
    <w:tblStylePr w:type="firstRow">
      <w:pPr>
        <w:spacing w:before="0" w:after="0" w:line="240" w:lineRule="auto"/>
      </w:pPr>
      <w:rPr>
        <w:b/>
        <w:bCs/>
      </w:rPr>
      <w:tblPr/>
      <w:tcPr>
        <w:tcBorders>
          <w:top w:val="single" w:sz="8" w:space="0" w:color="96A7E4" w:themeColor="accent5"/>
          <w:left w:val="nil"/>
          <w:bottom w:val="single" w:sz="8" w:space="0" w:color="96A7E4" w:themeColor="accent5"/>
          <w:right w:val="nil"/>
          <w:insideH w:val="nil"/>
          <w:insideV w:val="nil"/>
        </w:tcBorders>
      </w:tcPr>
    </w:tblStylePr>
    <w:tblStylePr w:type="lastRow">
      <w:pPr>
        <w:spacing w:before="0" w:after="0" w:line="240" w:lineRule="auto"/>
      </w:pPr>
      <w:rPr>
        <w:b/>
        <w:bCs/>
      </w:rPr>
      <w:tblPr/>
      <w:tcPr>
        <w:tcBorders>
          <w:top w:val="single" w:sz="8" w:space="0" w:color="96A7E4" w:themeColor="accent5"/>
          <w:left w:val="nil"/>
          <w:bottom w:val="single" w:sz="8" w:space="0" w:color="96A7E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9F8" w:themeFill="accent5" w:themeFillTint="3F"/>
      </w:tcPr>
    </w:tblStylePr>
    <w:tblStylePr w:type="band1Horz">
      <w:tblPr/>
      <w:tcPr>
        <w:tcBorders>
          <w:left w:val="nil"/>
          <w:right w:val="nil"/>
          <w:insideH w:val="nil"/>
          <w:insideV w:val="nil"/>
        </w:tcBorders>
        <w:shd w:val="clear" w:color="auto" w:fill="E5E9F8" w:themeFill="accent5" w:themeFillTint="3F"/>
      </w:tcPr>
    </w:tblStylePr>
  </w:style>
  <w:style w:type="table" w:styleId="LightShading-Accent6">
    <w:name w:val="Light Shading Accent 6"/>
    <w:basedOn w:val="TableNormal"/>
    <w:uiPriority w:val="60"/>
    <w:locked/>
    <w:rsid w:val="00F80750"/>
    <w:pPr>
      <w:spacing w:after="0" w:line="240" w:lineRule="auto"/>
    </w:pPr>
    <w:rPr>
      <w:color w:val="AFAFAF" w:themeColor="accent6" w:themeShade="BF"/>
    </w:rPr>
    <w:tblPr>
      <w:tblStyleRowBandSize w:val="1"/>
      <w:tblStyleColBandSize w:val="1"/>
      <w:tblBorders>
        <w:top w:val="single" w:sz="8" w:space="0" w:color="EAEAEA" w:themeColor="accent6"/>
        <w:bottom w:val="single" w:sz="8" w:space="0" w:color="EAEAEA" w:themeColor="accent6"/>
      </w:tblBorders>
    </w:tblPr>
    <w:tblStylePr w:type="firstRow">
      <w:pPr>
        <w:spacing w:before="0" w:after="0" w:line="240" w:lineRule="auto"/>
      </w:pPr>
      <w:rPr>
        <w:b/>
        <w:bCs/>
      </w:rPr>
      <w:tblPr/>
      <w:tcPr>
        <w:tcBorders>
          <w:top w:val="single" w:sz="8" w:space="0" w:color="EAEAEA" w:themeColor="accent6"/>
          <w:left w:val="nil"/>
          <w:bottom w:val="single" w:sz="8" w:space="0" w:color="EAEAEA" w:themeColor="accent6"/>
          <w:right w:val="nil"/>
          <w:insideH w:val="nil"/>
          <w:insideV w:val="nil"/>
        </w:tcBorders>
      </w:tcPr>
    </w:tblStylePr>
    <w:tblStylePr w:type="lastRow">
      <w:pPr>
        <w:spacing w:before="0" w:after="0" w:line="240" w:lineRule="auto"/>
      </w:pPr>
      <w:rPr>
        <w:b/>
        <w:bCs/>
      </w:rPr>
      <w:tblPr/>
      <w:tcPr>
        <w:tcBorders>
          <w:top w:val="single" w:sz="8" w:space="0" w:color="EAEAEA" w:themeColor="accent6"/>
          <w:left w:val="nil"/>
          <w:bottom w:val="single" w:sz="8" w:space="0" w:color="EAEAE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9F9" w:themeFill="accent6" w:themeFillTint="3F"/>
      </w:tcPr>
    </w:tblStylePr>
    <w:tblStylePr w:type="band1Horz">
      <w:tblPr/>
      <w:tcPr>
        <w:tcBorders>
          <w:left w:val="nil"/>
          <w:right w:val="nil"/>
          <w:insideH w:val="nil"/>
          <w:insideV w:val="nil"/>
        </w:tcBorders>
        <w:shd w:val="clear" w:color="auto" w:fill="F9F9F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3"/>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4"/>
      </w:numPr>
      <w:contextualSpacing/>
    </w:pPr>
  </w:style>
  <w:style w:type="paragraph" w:styleId="ListParagraph">
    <w:name w:val="List Paragraph"/>
    <w:uiPriority w:val="34"/>
    <w:qFormat/>
    <w:rsid w:val="00072B30"/>
    <w:pPr>
      <w:tabs>
        <w:tab w:val="left" w:pos="357"/>
      </w:tabs>
      <w:ind w:left="357"/>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3A5BCC" w:themeColor="accent1" w:themeTint="BF"/>
        <w:left w:val="single" w:sz="8" w:space="0" w:color="3A5BCC" w:themeColor="accent1" w:themeTint="BF"/>
        <w:bottom w:val="single" w:sz="8" w:space="0" w:color="3A5BCC" w:themeColor="accent1" w:themeTint="BF"/>
        <w:right w:val="single" w:sz="8" w:space="0" w:color="3A5BCC" w:themeColor="accent1" w:themeTint="BF"/>
        <w:insideH w:val="single" w:sz="8" w:space="0" w:color="3A5BCC" w:themeColor="accent1" w:themeTint="BF"/>
        <w:insideV w:val="single" w:sz="8" w:space="0" w:color="3A5BCC" w:themeColor="accent1" w:themeTint="BF"/>
      </w:tblBorders>
    </w:tblPr>
    <w:tcPr>
      <w:shd w:val="clear" w:color="auto" w:fill="BEC8EE" w:themeFill="accent1" w:themeFillTint="3F"/>
    </w:tcPr>
    <w:tblStylePr w:type="firstRow">
      <w:rPr>
        <w:b/>
        <w:bCs/>
      </w:rPr>
    </w:tblStylePr>
    <w:tblStylePr w:type="lastRow">
      <w:rPr>
        <w:b/>
        <w:bCs/>
      </w:rPr>
      <w:tblPr/>
      <w:tcPr>
        <w:tcBorders>
          <w:top w:val="single" w:sz="18" w:space="0" w:color="3A5BCC" w:themeColor="accent1" w:themeTint="BF"/>
        </w:tcBorders>
      </w:tcPr>
    </w:tblStylePr>
    <w:tblStylePr w:type="firstCol">
      <w:rPr>
        <w:b/>
        <w:bCs/>
      </w:rPr>
    </w:tblStylePr>
    <w:tblStylePr w:type="lastCol">
      <w:rPr>
        <w:b/>
        <w:bCs/>
      </w:rPr>
    </w:tblStylePr>
    <w:tblStylePr w:type="band1Vert">
      <w:tblPr/>
      <w:tcPr>
        <w:shd w:val="clear" w:color="auto" w:fill="7C92DD" w:themeFill="accent1" w:themeFillTint="7F"/>
      </w:tcPr>
    </w:tblStylePr>
    <w:tblStylePr w:type="band1Horz">
      <w:tblPr/>
      <w:tcPr>
        <w:shd w:val="clear" w:color="auto" w:fill="7C92DD"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F69A57" w:themeColor="accent2" w:themeTint="BF"/>
        <w:left w:val="single" w:sz="8" w:space="0" w:color="F69A57" w:themeColor="accent2" w:themeTint="BF"/>
        <w:bottom w:val="single" w:sz="8" w:space="0" w:color="F69A57" w:themeColor="accent2" w:themeTint="BF"/>
        <w:right w:val="single" w:sz="8" w:space="0" w:color="F69A57" w:themeColor="accent2" w:themeTint="BF"/>
        <w:insideH w:val="single" w:sz="8" w:space="0" w:color="F69A57" w:themeColor="accent2" w:themeTint="BF"/>
        <w:insideV w:val="single" w:sz="8" w:space="0" w:color="F69A57" w:themeColor="accent2" w:themeTint="BF"/>
      </w:tblBorders>
    </w:tblPr>
    <w:tcPr>
      <w:shd w:val="clear" w:color="auto" w:fill="FCDDC7" w:themeFill="accent2" w:themeFillTint="3F"/>
    </w:tcPr>
    <w:tblStylePr w:type="firstRow">
      <w:rPr>
        <w:b/>
        <w:bCs/>
      </w:rPr>
    </w:tblStylePr>
    <w:tblStylePr w:type="lastRow">
      <w:rPr>
        <w:b/>
        <w:bCs/>
      </w:rPr>
      <w:tblPr/>
      <w:tcPr>
        <w:tcBorders>
          <w:top w:val="single" w:sz="18" w:space="0" w:color="F69A57" w:themeColor="accent2" w:themeTint="BF"/>
        </w:tcBorders>
      </w:tcPr>
    </w:tblStylePr>
    <w:tblStylePr w:type="firstCol">
      <w:rPr>
        <w:b/>
        <w:bCs/>
      </w:rPr>
    </w:tblStylePr>
    <w:tblStylePr w:type="lastCol">
      <w:rPr>
        <w:b/>
        <w:bCs/>
      </w:rPr>
    </w:tblStylePr>
    <w:tblStylePr w:type="band1Vert">
      <w:tblPr/>
      <w:tcPr>
        <w:shd w:val="clear" w:color="auto" w:fill="F9BC8F" w:themeFill="accent2" w:themeFillTint="7F"/>
      </w:tcPr>
    </w:tblStylePr>
    <w:tblStylePr w:type="band1Horz">
      <w:tblPr/>
      <w:tcPr>
        <w:shd w:val="clear" w:color="auto" w:fill="F9BC8F"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8CA5AB" w:themeColor="accent3" w:themeTint="BF"/>
        <w:left w:val="single" w:sz="8" w:space="0" w:color="8CA5AB" w:themeColor="accent3" w:themeTint="BF"/>
        <w:bottom w:val="single" w:sz="8" w:space="0" w:color="8CA5AB" w:themeColor="accent3" w:themeTint="BF"/>
        <w:right w:val="single" w:sz="8" w:space="0" w:color="8CA5AB" w:themeColor="accent3" w:themeTint="BF"/>
        <w:insideH w:val="single" w:sz="8" w:space="0" w:color="8CA5AB" w:themeColor="accent3" w:themeTint="BF"/>
        <w:insideV w:val="single" w:sz="8" w:space="0" w:color="8CA5AB" w:themeColor="accent3" w:themeTint="BF"/>
      </w:tblBorders>
    </w:tblPr>
    <w:tcPr>
      <w:shd w:val="clear" w:color="auto" w:fill="D9E1E3" w:themeFill="accent3" w:themeFillTint="3F"/>
    </w:tcPr>
    <w:tblStylePr w:type="firstRow">
      <w:rPr>
        <w:b/>
        <w:bCs/>
      </w:rPr>
    </w:tblStylePr>
    <w:tblStylePr w:type="lastRow">
      <w:rPr>
        <w:b/>
        <w:bCs/>
      </w:rPr>
      <w:tblPr/>
      <w:tcPr>
        <w:tcBorders>
          <w:top w:val="single" w:sz="18" w:space="0" w:color="8CA5AB" w:themeColor="accent3" w:themeTint="BF"/>
        </w:tcBorders>
      </w:tcPr>
    </w:tblStylePr>
    <w:tblStylePr w:type="firstCol">
      <w:rPr>
        <w:b/>
        <w:bCs/>
      </w:rPr>
    </w:tblStylePr>
    <w:tblStylePr w:type="lastCol">
      <w:rPr>
        <w:b/>
        <w:bCs/>
      </w:rPr>
    </w:tblStylePr>
    <w:tblStylePr w:type="band1Vert">
      <w:tblPr/>
      <w:tcPr>
        <w:shd w:val="clear" w:color="auto" w:fill="B3C3C7" w:themeFill="accent3" w:themeFillTint="7F"/>
      </w:tcPr>
    </w:tblStylePr>
    <w:tblStylePr w:type="band1Horz">
      <w:tblPr/>
      <w:tcPr>
        <w:shd w:val="clear" w:color="auto" w:fill="B3C3C7"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E0E4E9" w:themeColor="accent4" w:themeTint="BF"/>
        <w:left w:val="single" w:sz="8" w:space="0" w:color="E0E4E9" w:themeColor="accent4" w:themeTint="BF"/>
        <w:bottom w:val="single" w:sz="8" w:space="0" w:color="E0E4E9" w:themeColor="accent4" w:themeTint="BF"/>
        <w:right w:val="single" w:sz="8" w:space="0" w:color="E0E4E9" w:themeColor="accent4" w:themeTint="BF"/>
        <w:insideH w:val="single" w:sz="8" w:space="0" w:color="E0E4E9" w:themeColor="accent4" w:themeTint="BF"/>
        <w:insideV w:val="single" w:sz="8" w:space="0" w:color="E0E4E9" w:themeColor="accent4" w:themeTint="BF"/>
      </w:tblBorders>
    </w:tblPr>
    <w:tcPr>
      <w:shd w:val="clear" w:color="auto" w:fill="F4F6F7" w:themeFill="accent4" w:themeFillTint="3F"/>
    </w:tcPr>
    <w:tblStylePr w:type="firstRow">
      <w:rPr>
        <w:b/>
        <w:bCs/>
      </w:rPr>
    </w:tblStylePr>
    <w:tblStylePr w:type="lastRow">
      <w:rPr>
        <w:b/>
        <w:bCs/>
      </w:rPr>
      <w:tblPr/>
      <w:tcPr>
        <w:tcBorders>
          <w:top w:val="single" w:sz="18" w:space="0" w:color="E0E4E9" w:themeColor="accent4" w:themeTint="BF"/>
        </w:tcBorders>
      </w:tcPr>
    </w:tblStylePr>
    <w:tblStylePr w:type="firstCol">
      <w:rPr>
        <w:b/>
        <w:bCs/>
      </w:rPr>
    </w:tblStylePr>
    <w:tblStylePr w:type="lastCol">
      <w:rPr>
        <w:b/>
        <w:bCs/>
      </w:rPr>
    </w:tblStylePr>
    <w:tblStylePr w:type="band1Vert">
      <w:tblPr/>
      <w:tcPr>
        <w:shd w:val="clear" w:color="auto" w:fill="EAEDF0" w:themeFill="accent4" w:themeFillTint="7F"/>
      </w:tcPr>
    </w:tblStylePr>
    <w:tblStylePr w:type="band1Horz">
      <w:tblPr/>
      <w:tcPr>
        <w:shd w:val="clear" w:color="auto" w:fill="EAEDF0"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B0BCEA" w:themeColor="accent5" w:themeTint="BF"/>
        <w:left w:val="single" w:sz="8" w:space="0" w:color="B0BCEA" w:themeColor="accent5" w:themeTint="BF"/>
        <w:bottom w:val="single" w:sz="8" w:space="0" w:color="B0BCEA" w:themeColor="accent5" w:themeTint="BF"/>
        <w:right w:val="single" w:sz="8" w:space="0" w:color="B0BCEA" w:themeColor="accent5" w:themeTint="BF"/>
        <w:insideH w:val="single" w:sz="8" w:space="0" w:color="B0BCEA" w:themeColor="accent5" w:themeTint="BF"/>
        <w:insideV w:val="single" w:sz="8" w:space="0" w:color="B0BCEA" w:themeColor="accent5" w:themeTint="BF"/>
      </w:tblBorders>
    </w:tblPr>
    <w:tcPr>
      <w:shd w:val="clear" w:color="auto" w:fill="E5E9F8" w:themeFill="accent5" w:themeFillTint="3F"/>
    </w:tcPr>
    <w:tblStylePr w:type="firstRow">
      <w:rPr>
        <w:b/>
        <w:bCs/>
      </w:rPr>
    </w:tblStylePr>
    <w:tblStylePr w:type="lastRow">
      <w:rPr>
        <w:b/>
        <w:bCs/>
      </w:rPr>
      <w:tblPr/>
      <w:tcPr>
        <w:tcBorders>
          <w:top w:val="single" w:sz="18" w:space="0" w:color="B0BCEA" w:themeColor="accent5" w:themeTint="BF"/>
        </w:tcBorders>
      </w:tcPr>
    </w:tblStylePr>
    <w:tblStylePr w:type="firstCol">
      <w:rPr>
        <w:b/>
        <w:bCs/>
      </w:rPr>
    </w:tblStylePr>
    <w:tblStylePr w:type="lastCol">
      <w:rPr>
        <w:b/>
        <w:bCs/>
      </w:rPr>
    </w:tblStylePr>
    <w:tblStylePr w:type="band1Vert">
      <w:tblPr/>
      <w:tcPr>
        <w:shd w:val="clear" w:color="auto" w:fill="CAD2F1" w:themeFill="accent5" w:themeFillTint="7F"/>
      </w:tcPr>
    </w:tblStylePr>
    <w:tblStylePr w:type="band1Horz">
      <w:tblPr/>
      <w:tcPr>
        <w:shd w:val="clear" w:color="auto" w:fill="CAD2F1"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EFEFEF" w:themeColor="accent6" w:themeTint="BF"/>
        <w:left w:val="single" w:sz="8" w:space="0" w:color="EFEFEF" w:themeColor="accent6" w:themeTint="BF"/>
        <w:bottom w:val="single" w:sz="8" w:space="0" w:color="EFEFEF" w:themeColor="accent6" w:themeTint="BF"/>
        <w:right w:val="single" w:sz="8" w:space="0" w:color="EFEFEF" w:themeColor="accent6" w:themeTint="BF"/>
        <w:insideH w:val="single" w:sz="8" w:space="0" w:color="EFEFEF" w:themeColor="accent6" w:themeTint="BF"/>
        <w:insideV w:val="single" w:sz="8" w:space="0" w:color="EFEFEF" w:themeColor="accent6" w:themeTint="BF"/>
      </w:tblBorders>
    </w:tblPr>
    <w:tcPr>
      <w:shd w:val="clear" w:color="auto" w:fill="F9F9F9" w:themeFill="accent6" w:themeFillTint="3F"/>
    </w:tcPr>
    <w:tblStylePr w:type="firstRow">
      <w:rPr>
        <w:b/>
        <w:bCs/>
      </w:rPr>
    </w:tblStylePr>
    <w:tblStylePr w:type="lastRow">
      <w:rPr>
        <w:b/>
        <w:bCs/>
      </w:rPr>
      <w:tblPr/>
      <w:tcPr>
        <w:tcBorders>
          <w:top w:val="single" w:sz="18" w:space="0" w:color="EFEFEF" w:themeColor="accent6" w:themeTint="BF"/>
        </w:tcBorders>
      </w:tcPr>
    </w:tblStylePr>
    <w:tblStylePr w:type="firstCol">
      <w:rPr>
        <w:b/>
        <w:bCs/>
      </w:rPr>
    </w:tblStylePr>
    <w:tblStylePr w:type="lastCol">
      <w:rPr>
        <w:b/>
        <w:bCs/>
      </w:rPr>
    </w:tblStylePr>
    <w:tblStylePr w:type="band1Vert">
      <w:tblPr/>
      <w:tcPr>
        <w:shd w:val="clear" w:color="auto" w:fill="F4F4F4" w:themeFill="accent6" w:themeFillTint="7F"/>
      </w:tcPr>
    </w:tblStylePr>
    <w:tblStylePr w:type="band1Horz">
      <w:tblPr/>
      <w:tcPr>
        <w:shd w:val="clear" w:color="auto" w:fill="F4F4F4"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253D90" w:themeColor="accent1"/>
        <w:left w:val="single" w:sz="8" w:space="0" w:color="253D90" w:themeColor="accent1"/>
        <w:bottom w:val="single" w:sz="8" w:space="0" w:color="253D90" w:themeColor="accent1"/>
        <w:right w:val="single" w:sz="8" w:space="0" w:color="253D90" w:themeColor="accent1"/>
        <w:insideH w:val="single" w:sz="8" w:space="0" w:color="253D90" w:themeColor="accent1"/>
        <w:insideV w:val="single" w:sz="8" w:space="0" w:color="253D90" w:themeColor="accent1"/>
      </w:tblBorders>
    </w:tblPr>
    <w:tcPr>
      <w:shd w:val="clear" w:color="auto" w:fill="BEC8EE" w:themeFill="accent1" w:themeFillTint="3F"/>
    </w:tcPr>
    <w:tblStylePr w:type="firstRow">
      <w:rPr>
        <w:b/>
        <w:bCs/>
        <w:color w:val="000000" w:themeColor="text1"/>
      </w:rPr>
      <w:tblPr/>
      <w:tcPr>
        <w:shd w:val="clear" w:color="auto" w:fill="E5E9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D3F1" w:themeFill="accent1" w:themeFillTint="33"/>
      </w:tcPr>
    </w:tblStylePr>
    <w:tblStylePr w:type="band1Vert">
      <w:tblPr/>
      <w:tcPr>
        <w:shd w:val="clear" w:color="auto" w:fill="7C92DD" w:themeFill="accent1" w:themeFillTint="7F"/>
      </w:tcPr>
    </w:tblStylePr>
    <w:tblStylePr w:type="band1Horz">
      <w:tblPr/>
      <w:tcPr>
        <w:tcBorders>
          <w:insideH w:val="single" w:sz="6" w:space="0" w:color="253D90" w:themeColor="accent1"/>
          <w:insideV w:val="single" w:sz="6" w:space="0" w:color="253D90" w:themeColor="accent1"/>
        </w:tcBorders>
        <w:shd w:val="clear" w:color="auto" w:fill="7C92D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47920" w:themeColor="accent2"/>
        <w:left w:val="single" w:sz="8" w:space="0" w:color="F47920" w:themeColor="accent2"/>
        <w:bottom w:val="single" w:sz="8" w:space="0" w:color="F47920" w:themeColor="accent2"/>
        <w:right w:val="single" w:sz="8" w:space="0" w:color="F47920" w:themeColor="accent2"/>
        <w:insideH w:val="single" w:sz="8" w:space="0" w:color="F47920" w:themeColor="accent2"/>
        <w:insideV w:val="single" w:sz="8" w:space="0" w:color="F47920" w:themeColor="accent2"/>
      </w:tblBorders>
    </w:tblPr>
    <w:tcPr>
      <w:shd w:val="clear" w:color="auto" w:fill="FCDDC7" w:themeFill="accent2" w:themeFillTint="3F"/>
    </w:tcPr>
    <w:tblStylePr w:type="firstRow">
      <w:rPr>
        <w:b/>
        <w:bCs/>
        <w:color w:val="000000" w:themeColor="text1"/>
      </w:rPr>
      <w:tblPr/>
      <w:tcPr>
        <w:shd w:val="clear" w:color="auto" w:fill="FEF1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4D2" w:themeFill="accent2" w:themeFillTint="33"/>
      </w:tcPr>
    </w:tblStylePr>
    <w:tblStylePr w:type="band1Vert">
      <w:tblPr/>
      <w:tcPr>
        <w:shd w:val="clear" w:color="auto" w:fill="F9BC8F" w:themeFill="accent2" w:themeFillTint="7F"/>
      </w:tcPr>
    </w:tblStylePr>
    <w:tblStylePr w:type="band1Horz">
      <w:tblPr/>
      <w:tcPr>
        <w:tcBorders>
          <w:insideH w:val="single" w:sz="6" w:space="0" w:color="F47920" w:themeColor="accent2"/>
          <w:insideV w:val="single" w:sz="6" w:space="0" w:color="F47920" w:themeColor="accent2"/>
        </w:tcBorders>
        <w:shd w:val="clear" w:color="auto" w:fill="F9BC8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68878E" w:themeColor="accent3"/>
        <w:left w:val="single" w:sz="8" w:space="0" w:color="68878E" w:themeColor="accent3"/>
        <w:bottom w:val="single" w:sz="8" w:space="0" w:color="68878E" w:themeColor="accent3"/>
        <w:right w:val="single" w:sz="8" w:space="0" w:color="68878E" w:themeColor="accent3"/>
        <w:insideH w:val="single" w:sz="8" w:space="0" w:color="68878E" w:themeColor="accent3"/>
        <w:insideV w:val="single" w:sz="8" w:space="0" w:color="68878E" w:themeColor="accent3"/>
      </w:tblBorders>
    </w:tblPr>
    <w:tcPr>
      <w:shd w:val="clear" w:color="auto" w:fill="D9E1E3" w:themeFill="accent3" w:themeFillTint="3F"/>
    </w:tcPr>
    <w:tblStylePr w:type="firstRow">
      <w:rPr>
        <w:b/>
        <w:bCs/>
        <w:color w:val="000000" w:themeColor="text1"/>
      </w:rPr>
      <w:tblPr/>
      <w:tcPr>
        <w:shd w:val="clear" w:color="auto" w:fill="EFF3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7E8" w:themeFill="accent3" w:themeFillTint="33"/>
      </w:tcPr>
    </w:tblStylePr>
    <w:tblStylePr w:type="band1Vert">
      <w:tblPr/>
      <w:tcPr>
        <w:shd w:val="clear" w:color="auto" w:fill="B3C3C7" w:themeFill="accent3" w:themeFillTint="7F"/>
      </w:tcPr>
    </w:tblStylePr>
    <w:tblStylePr w:type="band1Horz">
      <w:tblPr/>
      <w:tcPr>
        <w:tcBorders>
          <w:insideH w:val="single" w:sz="6" w:space="0" w:color="68878E" w:themeColor="accent3"/>
          <w:insideV w:val="single" w:sz="6" w:space="0" w:color="68878E" w:themeColor="accent3"/>
        </w:tcBorders>
        <w:shd w:val="clear" w:color="auto" w:fill="B3C3C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7DCE2" w:themeColor="accent4"/>
        <w:left w:val="single" w:sz="8" w:space="0" w:color="D7DCE2" w:themeColor="accent4"/>
        <w:bottom w:val="single" w:sz="8" w:space="0" w:color="D7DCE2" w:themeColor="accent4"/>
        <w:right w:val="single" w:sz="8" w:space="0" w:color="D7DCE2" w:themeColor="accent4"/>
        <w:insideH w:val="single" w:sz="8" w:space="0" w:color="D7DCE2" w:themeColor="accent4"/>
        <w:insideV w:val="single" w:sz="8" w:space="0" w:color="D7DCE2" w:themeColor="accent4"/>
      </w:tblBorders>
    </w:tblPr>
    <w:tcPr>
      <w:shd w:val="clear" w:color="auto" w:fill="F4F6F7" w:themeFill="accent4" w:themeFillTint="3F"/>
    </w:tcPr>
    <w:tblStylePr w:type="firstRow">
      <w:rPr>
        <w:b/>
        <w:bCs/>
        <w:color w:val="000000" w:themeColor="text1"/>
      </w:rPr>
      <w:tblPr/>
      <w:tcPr>
        <w:shd w:val="clear" w:color="auto" w:fill="FAFB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7F9" w:themeFill="accent4" w:themeFillTint="33"/>
      </w:tcPr>
    </w:tblStylePr>
    <w:tblStylePr w:type="band1Vert">
      <w:tblPr/>
      <w:tcPr>
        <w:shd w:val="clear" w:color="auto" w:fill="EAEDF0" w:themeFill="accent4" w:themeFillTint="7F"/>
      </w:tcPr>
    </w:tblStylePr>
    <w:tblStylePr w:type="band1Horz">
      <w:tblPr/>
      <w:tcPr>
        <w:tcBorders>
          <w:insideH w:val="single" w:sz="6" w:space="0" w:color="D7DCE2" w:themeColor="accent4"/>
          <w:insideV w:val="single" w:sz="6" w:space="0" w:color="D7DCE2" w:themeColor="accent4"/>
        </w:tcBorders>
        <w:shd w:val="clear" w:color="auto" w:fill="EAEDF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96A7E4" w:themeColor="accent5"/>
        <w:left w:val="single" w:sz="8" w:space="0" w:color="96A7E4" w:themeColor="accent5"/>
        <w:bottom w:val="single" w:sz="8" w:space="0" w:color="96A7E4" w:themeColor="accent5"/>
        <w:right w:val="single" w:sz="8" w:space="0" w:color="96A7E4" w:themeColor="accent5"/>
        <w:insideH w:val="single" w:sz="8" w:space="0" w:color="96A7E4" w:themeColor="accent5"/>
        <w:insideV w:val="single" w:sz="8" w:space="0" w:color="96A7E4" w:themeColor="accent5"/>
      </w:tblBorders>
    </w:tblPr>
    <w:tcPr>
      <w:shd w:val="clear" w:color="auto" w:fill="E5E9F8" w:themeFill="accent5" w:themeFillTint="3F"/>
    </w:tcPr>
    <w:tblStylePr w:type="firstRow">
      <w:rPr>
        <w:b/>
        <w:bCs/>
        <w:color w:val="000000" w:themeColor="text1"/>
      </w:rPr>
      <w:tblPr/>
      <w:tcPr>
        <w:shd w:val="clear" w:color="auto" w:fill="F4F6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DF9" w:themeFill="accent5" w:themeFillTint="33"/>
      </w:tcPr>
    </w:tblStylePr>
    <w:tblStylePr w:type="band1Vert">
      <w:tblPr/>
      <w:tcPr>
        <w:shd w:val="clear" w:color="auto" w:fill="CAD2F1" w:themeFill="accent5" w:themeFillTint="7F"/>
      </w:tcPr>
    </w:tblStylePr>
    <w:tblStylePr w:type="band1Horz">
      <w:tblPr/>
      <w:tcPr>
        <w:tcBorders>
          <w:insideH w:val="single" w:sz="6" w:space="0" w:color="96A7E4" w:themeColor="accent5"/>
          <w:insideV w:val="single" w:sz="6" w:space="0" w:color="96A7E4" w:themeColor="accent5"/>
        </w:tcBorders>
        <w:shd w:val="clear" w:color="auto" w:fill="CAD2F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AEAEA" w:themeColor="accent6"/>
        <w:left w:val="single" w:sz="8" w:space="0" w:color="EAEAEA" w:themeColor="accent6"/>
        <w:bottom w:val="single" w:sz="8" w:space="0" w:color="EAEAEA" w:themeColor="accent6"/>
        <w:right w:val="single" w:sz="8" w:space="0" w:color="EAEAEA" w:themeColor="accent6"/>
        <w:insideH w:val="single" w:sz="8" w:space="0" w:color="EAEAEA" w:themeColor="accent6"/>
        <w:insideV w:val="single" w:sz="8" w:space="0" w:color="EAEAEA" w:themeColor="accent6"/>
      </w:tblBorders>
    </w:tblPr>
    <w:tcPr>
      <w:shd w:val="clear" w:color="auto" w:fill="F9F9F9" w:themeFill="accent6" w:themeFillTint="3F"/>
    </w:tcPr>
    <w:tblStylePr w:type="firstRow">
      <w:rPr>
        <w:b/>
        <w:bCs/>
        <w:color w:val="000000" w:themeColor="text1"/>
      </w:rPr>
      <w:tblPr/>
      <w:tcPr>
        <w:shd w:val="clear" w:color="auto" w:fill="FCFC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6" w:themeFillTint="33"/>
      </w:tcPr>
    </w:tblStylePr>
    <w:tblStylePr w:type="band1Vert">
      <w:tblPr/>
      <w:tcPr>
        <w:shd w:val="clear" w:color="auto" w:fill="F4F4F4" w:themeFill="accent6" w:themeFillTint="7F"/>
      </w:tcPr>
    </w:tblStylePr>
    <w:tblStylePr w:type="band1Horz">
      <w:tblPr/>
      <w:tcPr>
        <w:tcBorders>
          <w:insideH w:val="single" w:sz="6" w:space="0" w:color="EAEAEA" w:themeColor="accent6"/>
          <w:insideV w:val="single" w:sz="6" w:space="0" w:color="EAEAEA" w:themeColor="accent6"/>
        </w:tcBorders>
        <w:shd w:val="clear" w:color="auto" w:fill="F4F4F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C8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53D9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53D9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53D9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53D9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C92D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C92DD"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D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79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79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79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79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C8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C8F"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1E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88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88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88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88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3C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3C7"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6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DCE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DCE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DCE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DCE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EDF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EDF0"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9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A7E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A7E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A7E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A7E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2F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2F1"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9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EAE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EAE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EAE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EAE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F4F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F4F4"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53D9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253D90" w:themeColor="accent1"/>
        <w:bottom w:val="single" w:sz="8" w:space="0" w:color="253D90" w:themeColor="accent1"/>
      </w:tblBorders>
    </w:tblPr>
    <w:tblStylePr w:type="firstRow">
      <w:rPr>
        <w:rFonts w:asciiTheme="majorHAnsi" w:eastAsiaTheme="majorEastAsia" w:hAnsiTheme="majorHAnsi" w:cstheme="majorBidi"/>
      </w:rPr>
      <w:tblPr/>
      <w:tcPr>
        <w:tcBorders>
          <w:top w:val="nil"/>
          <w:bottom w:val="single" w:sz="8" w:space="0" w:color="253D90" w:themeColor="accent1"/>
        </w:tcBorders>
      </w:tcPr>
    </w:tblStylePr>
    <w:tblStylePr w:type="lastRow">
      <w:rPr>
        <w:b/>
        <w:bCs/>
        <w:color w:val="253D90" w:themeColor="text2"/>
      </w:rPr>
      <w:tblPr/>
      <w:tcPr>
        <w:tcBorders>
          <w:top w:val="single" w:sz="8" w:space="0" w:color="253D90" w:themeColor="accent1"/>
          <w:bottom w:val="single" w:sz="8" w:space="0" w:color="253D90" w:themeColor="accent1"/>
        </w:tcBorders>
      </w:tcPr>
    </w:tblStylePr>
    <w:tblStylePr w:type="firstCol">
      <w:rPr>
        <w:b/>
        <w:bCs/>
      </w:rPr>
    </w:tblStylePr>
    <w:tblStylePr w:type="lastCol">
      <w:rPr>
        <w:b/>
        <w:bCs/>
      </w:rPr>
      <w:tblPr/>
      <w:tcPr>
        <w:tcBorders>
          <w:top w:val="single" w:sz="8" w:space="0" w:color="253D90" w:themeColor="accent1"/>
          <w:bottom w:val="single" w:sz="8" w:space="0" w:color="253D90" w:themeColor="accent1"/>
        </w:tcBorders>
      </w:tcPr>
    </w:tblStylePr>
    <w:tblStylePr w:type="band1Vert">
      <w:tblPr/>
      <w:tcPr>
        <w:shd w:val="clear" w:color="auto" w:fill="BEC8EE" w:themeFill="accent1" w:themeFillTint="3F"/>
      </w:tcPr>
    </w:tblStylePr>
    <w:tblStylePr w:type="band1Horz">
      <w:tblPr/>
      <w:tcPr>
        <w:shd w:val="clear" w:color="auto" w:fill="BEC8EE"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F47920" w:themeColor="accent2"/>
        <w:bottom w:val="single" w:sz="8" w:space="0" w:color="F47920" w:themeColor="accent2"/>
      </w:tblBorders>
    </w:tblPr>
    <w:tblStylePr w:type="firstRow">
      <w:rPr>
        <w:rFonts w:asciiTheme="majorHAnsi" w:eastAsiaTheme="majorEastAsia" w:hAnsiTheme="majorHAnsi" w:cstheme="majorBidi"/>
      </w:rPr>
      <w:tblPr/>
      <w:tcPr>
        <w:tcBorders>
          <w:top w:val="nil"/>
          <w:bottom w:val="single" w:sz="8" w:space="0" w:color="F47920" w:themeColor="accent2"/>
        </w:tcBorders>
      </w:tcPr>
    </w:tblStylePr>
    <w:tblStylePr w:type="lastRow">
      <w:rPr>
        <w:b/>
        <w:bCs/>
        <w:color w:val="253D90" w:themeColor="text2"/>
      </w:rPr>
      <w:tblPr/>
      <w:tcPr>
        <w:tcBorders>
          <w:top w:val="single" w:sz="8" w:space="0" w:color="F47920" w:themeColor="accent2"/>
          <w:bottom w:val="single" w:sz="8" w:space="0" w:color="F47920" w:themeColor="accent2"/>
        </w:tcBorders>
      </w:tcPr>
    </w:tblStylePr>
    <w:tblStylePr w:type="firstCol">
      <w:rPr>
        <w:b/>
        <w:bCs/>
      </w:rPr>
    </w:tblStylePr>
    <w:tblStylePr w:type="lastCol">
      <w:rPr>
        <w:b/>
        <w:bCs/>
      </w:rPr>
      <w:tblPr/>
      <w:tcPr>
        <w:tcBorders>
          <w:top w:val="single" w:sz="8" w:space="0" w:color="F47920" w:themeColor="accent2"/>
          <w:bottom w:val="single" w:sz="8" w:space="0" w:color="F47920" w:themeColor="accent2"/>
        </w:tcBorders>
      </w:tcPr>
    </w:tblStylePr>
    <w:tblStylePr w:type="band1Vert">
      <w:tblPr/>
      <w:tcPr>
        <w:shd w:val="clear" w:color="auto" w:fill="FCDDC7" w:themeFill="accent2" w:themeFillTint="3F"/>
      </w:tcPr>
    </w:tblStylePr>
    <w:tblStylePr w:type="band1Horz">
      <w:tblPr/>
      <w:tcPr>
        <w:shd w:val="clear" w:color="auto" w:fill="FCDDC7"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68878E" w:themeColor="accent3"/>
        <w:bottom w:val="single" w:sz="8" w:space="0" w:color="68878E" w:themeColor="accent3"/>
      </w:tblBorders>
    </w:tblPr>
    <w:tblStylePr w:type="firstRow">
      <w:rPr>
        <w:rFonts w:asciiTheme="majorHAnsi" w:eastAsiaTheme="majorEastAsia" w:hAnsiTheme="majorHAnsi" w:cstheme="majorBidi"/>
      </w:rPr>
      <w:tblPr/>
      <w:tcPr>
        <w:tcBorders>
          <w:top w:val="nil"/>
          <w:bottom w:val="single" w:sz="8" w:space="0" w:color="68878E" w:themeColor="accent3"/>
        </w:tcBorders>
      </w:tcPr>
    </w:tblStylePr>
    <w:tblStylePr w:type="lastRow">
      <w:rPr>
        <w:b/>
        <w:bCs/>
        <w:color w:val="253D90" w:themeColor="text2"/>
      </w:rPr>
      <w:tblPr/>
      <w:tcPr>
        <w:tcBorders>
          <w:top w:val="single" w:sz="8" w:space="0" w:color="68878E" w:themeColor="accent3"/>
          <w:bottom w:val="single" w:sz="8" w:space="0" w:color="68878E" w:themeColor="accent3"/>
        </w:tcBorders>
      </w:tcPr>
    </w:tblStylePr>
    <w:tblStylePr w:type="firstCol">
      <w:rPr>
        <w:b/>
        <w:bCs/>
      </w:rPr>
    </w:tblStylePr>
    <w:tblStylePr w:type="lastCol">
      <w:rPr>
        <w:b/>
        <w:bCs/>
      </w:rPr>
      <w:tblPr/>
      <w:tcPr>
        <w:tcBorders>
          <w:top w:val="single" w:sz="8" w:space="0" w:color="68878E" w:themeColor="accent3"/>
          <w:bottom w:val="single" w:sz="8" w:space="0" w:color="68878E" w:themeColor="accent3"/>
        </w:tcBorders>
      </w:tcPr>
    </w:tblStylePr>
    <w:tblStylePr w:type="band1Vert">
      <w:tblPr/>
      <w:tcPr>
        <w:shd w:val="clear" w:color="auto" w:fill="D9E1E3" w:themeFill="accent3" w:themeFillTint="3F"/>
      </w:tcPr>
    </w:tblStylePr>
    <w:tblStylePr w:type="band1Horz">
      <w:tblPr/>
      <w:tcPr>
        <w:shd w:val="clear" w:color="auto" w:fill="D9E1E3"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D7DCE2" w:themeColor="accent4"/>
        <w:bottom w:val="single" w:sz="8" w:space="0" w:color="D7DCE2" w:themeColor="accent4"/>
      </w:tblBorders>
    </w:tblPr>
    <w:tblStylePr w:type="firstRow">
      <w:rPr>
        <w:rFonts w:asciiTheme="majorHAnsi" w:eastAsiaTheme="majorEastAsia" w:hAnsiTheme="majorHAnsi" w:cstheme="majorBidi"/>
      </w:rPr>
      <w:tblPr/>
      <w:tcPr>
        <w:tcBorders>
          <w:top w:val="nil"/>
          <w:bottom w:val="single" w:sz="8" w:space="0" w:color="D7DCE2" w:themeColor="accent4"/>
        </w:tcBorders>
      </w:tcPr>
    </w:tblStylePr>
    <w:tblStylePr w:type="lastRow">
      <w:rPr>
        <w:b/>
        <w:bCs/>
        <w:color w:val="253D90" w:themeColor="text2"/>
      </w:rPr>
      <w:tblPr/>
      <w:tcPr>
        <w:tcBorders>
          <w:top w:val="single" w:sz="8" w:space="0" w:color="D7DCE2" w:themeColor="accent4"/>
          <w:bottom w:val="single" w:sz="8" w:space="0" w:color="D7DCE2" w:themeColor="accent4"/>
        </w:tcBorders>
      </w:tcPr>
    </w:tblStylePr>
    <w:tblStylePr w:type="firstCol">
      <w:rPr>
        <w:b/>
        <w:bCs/>
      </w:rPr>
    </w:tblStylePr>
    <w:tblStylePr w:type="lastCol">
      <w:rPr>
        <w:b/>
        <w:bCs/>
      </w:rPr>
      <w:tblPr/>
      <w:tcPr>
        <w:tcBorders>
          <w:top w:val="single" w:sz="8" w:space="0" w:color="D7DCE2" w:themeColor="accent4"/>
          <w:bottom w:val="single" w:sz="8" w:space="0" w:color="D7DCE2" w:themeColor="accent4"/>
        </w:tcBorders>
      </w:tcPr>
    </w:tblStylePr>
    <w:tblStylePr w:type="band1Vert">
      <w:tblPr/>
      <w:tcPr>
        <w:shd w:val="clear" w:color="auto" w:fill="F4F6F7" w:themeFill="accent4" w:themeFillTint="3F"/>
      </w:tcPr>
    </w:tblStylePr>
    <w:tblStylePr w:type="band1Horz">
      <w:tblPr/>
      <w:tcPr>
        <w:shd w:val="clear" w:color="auto" w:fill="F4F6F7"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96A7E4" w:themeColor="accent5"/>
        <w:bottom w:val="single" w:sz="8" w:space="0" w:color="96A7E4" w:themeColor="accent5"/>
      </w:tblBorders>
    </w:tblPr>
    <w:tblStylePr w:type="firstRow">
      <w:rPr>
        <w:rFonts w:asciiTheme="majorHAnsi" w:eastAsiaTheme="majorEastAsia" w:hAnsiTheme="majorHAnsi" w:cstheme="majorBidi"/>
      </w:rPr>
      <w:tblPr/>
      <w:tcPr>
        <w:tcBorders>
          <w:top w:val="nil"/>
          <w:bottom w:val="single" w:sz="8" w:space="0" w:color="96A7E4" w:themeColor="accent5"/>
        </w:tcBorders>
      </w:tcPr>
    </w:tblStylePr>
    <w:tblStylePr w:type="lastRow">
      <w:rPr>
        <w:b/>
        <w:bCs/>
        <w:color w:val="253D90" w:themeColor="text2"/>
      </w:rPr>
      <w:tblPr/>
      <w:tcPr>
        <w:tcBorders>
          <w:top w:val="single" w:sz="8" w:space="0" w:color="96A7E4" w:themeColor="accent5"/>
          <w:bottom w:val="single" w:sz="8" w:space="0" w:color="96A7E4" w:themeColor="accent5"/>
        </w:tcBorders>
      </w:tcPr>
    </w:tblStylePr>
    <w:tblStylePr w:type="firstCol">
      <w:rPr>
        <w:b/>
        <w:bCs/>
      </w:rPr>
    </w:tblStylePr>
    <w:tblStylePr w:type="lastCol">
      <w:rPr>
        <w:b/>
        <w:bCs/>
      </w:rPr>
      <w:tblPr/>
      <w:tcPr>
        <w:tcBorders>
          <w:top w:val="single" w:sz="8" w:space="0" w:color="96A7E4" w:themeColor="accent5"/>
          <w:bottom w:val="single" w:sz="8" w:space="0" w:color="96A7E4" w:themeColor="accent5"/>
        </w:tcBorders>
      </w:tcPr>
    </w:tblStylePr>
    <w:tblStylePr w:type="band1Vert">
      <w:tblPr/>
      <w:tcPr>
        <w:shd w:val="clear" w:color="auto" w:fill="E5E9F8" w:themeFill="accent5" w:themeFillTint="3F"/>
      </w:tcPr>
    </w:tblStylePr>
    <w:tblStylePr w:type="band1Horz">
      <w:tblPr/>
      <w:tcPr>
        <w:shd w:val="clear" w:color="auto" w:fill="E5E9F8"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EAEAEA" w:themeColor="accent6"/>
        <w:bottom w:val="single" w:sz="8" w:space="0" w:color="EAEAEA" w:themeColor="accent6"/>
      </w:tblBorders>
    </w:tblPr>
    <w:tblStylePr w:type="firstRow">
      <w:rPr>
        <w:rFonts w:asciiTheme="majorHAnsi" w:eastAsiaTheme="majorEastAsia" w:hAnsiTheme="majorHAnsi" w:cstheme="majorBidi"/>
      </w:rPr>
      <w:tblPr/>
      <w:tcPr>
        <w:tcBorders>
          <w:top w:val="nil"/>
          <w:bottom w:val="single" w:sz="8" w:space="0" w:color="EAEAEA" w:themeColor="accent6"/>
        </w:tcBorders>
      </w:tcPr>
    </w:tblStylePr>
    <w:tblStylePr w:type="lastRow">
      <w:rPr>
        <w:b/>
        <w:bCs/>
        <w:color w:val="253D90" w:themeColor="text2"/>
      </w:rPr>
      <w:tblPr/>
      <w:tcPr>
        <w:tcBorders>
          <w:top w:val="single" w:sz="8" w:space="0" w:color="EAEAEA" w:themeColor="accent6"/>
          <w:bottom w:val="single" w:sz="8" w:space="0" w:color="EAEAEA" w:themeColor="accent6"/>
        </w:tcBorders>
      </w:tcPr>
    </w:tblStylePr>
    <w:tblStylePr w:type="firstCol">
      <w:rPr>
        <w:b/>
        <w:bCs/>
      </w:rPr>
    </w:tblStylePr>
    <w:tblStylePr w:type="lastCol">
      <w:rPr>
        <w:b/>
        <w:bCs/>
      </w:rPr>
      <w:tblPr/>
      <w:tcPr>
        <w:tcBorders>
          <w:top w:val="single" w:sz="8" w:space="0" w:color="EAEAEA" w:themeColor="accent6"/>
          <w:bottom w:val="single" w:sz="8" w:space="0" w:color="EAEAEA" w:themeColor="accent6"/>
        </w:tcBorders>
      </w:tcPr>
    </w:tblStylePr>
    <w:tblStylePr w:type="band1Vert">
      <w:tblPr/>
      <w:tcPr>
        <w:shd w:val="clear" w:color="auto" w:fill="F9F9F9" w:themeFill="accent6" w:themeFillTint="3F"/>
      </w:tcPr>
    </w:tblStylePr>
    <w:tblStylePr w:type="band1Horz">
      <w:tblPr/>
      <w:tcPr>
        <w:shd w:val="clear" w:color="auto" w:fill="F9F9F9"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253D90" w:themeColor="accent1"/>
        <w:left w:val="single" w:sz="8" w:space="0" w:color="253D90" w:themeColor="accent1"/>
        <w:bottom w:val="single" w:sz="8" w:space="0" w:color="253D90" w:themeColor="accent1"/>
        <w:right w:val="single" w:sz="8" w:space="0" w:color="253D90" w:themeColor="accent1"/>
      </w:tblBorders>
    </w:tblPr>
    <w:tblStylePr w:type="firstRow">
      <w:rPr>
        <w:sz w:val="24"/>
        <w:szCs w:val="24"/>
      </w:rPr>
      <w:tblPr/>
      <w:tcPr>
        <w:tcBorders>
          <w:top w:val="nil"/>
          <w:left w:val="nil"/>
          <w:bottom w:val="single" w:sz="24" w:space="0" w:color="253D90" w:themeColor="accent1"/>
          <w:right w:val="nil"/>
          <w:insideH w:val="nil"/>
          <w:insideV w:val="nil"/>
        </w:tcBorders>
        <w:shd w:val="clear" w:color="auto" w:fill="FFFFFF" w:themeFill="background1"/>
      </w:tcPr>
    </w:tblStylePr>
    <w:tblStylePr w:type="lastRow">
      <w:tblPr/>
      <w:tcPr>
        <w:tcBorders>
          <w:top w:val="single" w:sz="8" w:space="0" w:color="253D9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53D90" w:themeColor="accent1"/>
          <w:insideH w:val="nil"/>
          <w:insideV w:val="nil"/>
        </w:tcBorders>
        <w:shd w:val="clear" w:color="auto" w:fill="FFFFFF" w:themeFill="background1"/>
      </w:tcPr>
    </w:tblStylePr>
    <w:tblStylePr w:type="lastCol">
      <w:tblPr/>
      <w:tcPr>
        <w:tcBorders>
          <w:top w:val="nil"/>
          <w:left w:val="single" w:sz="8" w:space="0" w:color="253D9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C8EE" w:themeFill="accent1" w:themeFillTint="3F"/>
      </w:tcPr>
    </w:tblStylePr>
    <w:tblStylePr w:type="band1Horz">
      <w:tblPr/>
      <w:tcPr>
        <w:tcBorders>
          <w:top w:val="nil"/>
          <w:bottom w:val="nil"/>
          <w:insideH w:val="nil"/>
          <w:insideV w:val="nil"/>
        </w:tcBorders>
        <w:shd w:val="clear" w:color="auto" w:fill="BEC8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47920" w:themeColor="accent2"/>
        <w:left w:val="single" w:sz="8" w:space="0" w:color="F47920" w:themeColor="accent2"/>
        <w:bottom w:val="single" w:sz="8" w:space="0" w:color="F47920" w:themeColor="accent2"/>
        <w:right w:val="single" w:sz="8" w:space="0" w:color="F47920" w:themeColor="accent2"/>
      </w:tblBorders>
    </w:tblPr>
    <w:tblStylePr w:type="firstRow">
      <w:rPr>
        <w:sz w:val="24"/>
        <w:szCs w:val="24"/>
      </w:rPr>
      <w:tblPr/>
      <w:tcPr>
        <w:tcBorders>
          <w:top w:val="nil"/>
          <w:left w:val="nil"/>
          <w:bottom w:val="single" w:sz="24" w:space="0" w:color="F47920" w:themeColor="accent2"/>
          <w:right w:val="nil"/>
          <w:insideH w:val="nil"/>
          <w:insideV w:val="nil"/>
        </w:tcBorders>
        <w:shd w:val="clear" w:color="auto" w:fill="FFFFFF" w:themeFill="background1"/>
      </w:tcPr>
    </w:tblStylePr>
    <w:tblStylePr w:type="lastRow">
      <w:tblPr/>
      <w:tcPr>
        <w:tcBorders>
          <w:top w:val="single" w:sz="8" w:space="0" w:color="F479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7920" w:themeColor="accent2"/>
          <w:insideH w:val="nil"/>
          <w:insideV w:val="nil"/>
        </w:tcBorders>
        <w:shd w:val="clear" w:color="auto" w:fill="FFFFFF" w:themeFill="background1"/>
      </w:tcPr>
    </w:tblStylePr>
    <w:tblStylePr w:type="lastCol">
      <w:tblPr/>
      <w:tcPr>
        <w:tcBorders>
          <w:top w:val="nil"/>
          <w:left w:val="single" w:sz="8" w:space="0" w:color="F479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DC7" w:themeFill="accent2" w:themeFillTint="3F"/>
      </w:tcPr>
    </w:tblStylePr>
    <w:tblStylePr w:type="band1Horz">
      <w:tblPr/>
      <w:tcPr>
        <w:tcBorders>
          <w:top w:val="nil"/>
          <w:bottom w:val="nil"/>
          <w:insideH w:val="nil"/>
          <w:insideV w:val="nil"/>
        </w:tcBorders>
        <w:shd w:val="clear" w:color="auto" w:fill="FCDD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68878E" w:themeColor="accent3"/>
        <w:left w:val="single" w:sz="8" w:space="0" w:color="68878E" w:themeColor="accent3"/>
        <w:bottom w:val="single" w:sz="8" w:space="0" w:color="68878E" w:themeColor="accent3"/>
        <w:right w:val="single" w:sz="8" w:space="0" w:color="68878E" w:themeColor="accent3"/>
      </w:tblBorders>
    </w:tblPr>
    <w:tblStylePr w:type="firstRow">
      <w:rPr>
        <w:sz w:val="24"/>
        <w:szCs w:val="24"/>
      </w:rPr>
      <w:tblPr/>
      <w:tcPr>
        <w:tcBorders>
          <w:top w:val="nil"/>
          <w:left w:val="nil"/>
          <w:bottom w:val="single" w:sz="24" w:space="0" w:color="68878E" w:themeColor="accent3"/>
          <w:right w:val="nil"/>
          <w:insideH w:val="nil"/>
          <w:insideV w:val="nil"/>
        </w:tcBorders>
        <w:shd w:val="clear" w:color="auto" w:fill="FFFFFF" w:themeFill="background1"/>
      </w:tcPr>
    </w:tblStylePr>
    <w:tblStylePr w:type="lastRow">
      <w:tblPr/>
      <w:tcPr>
        <w:tcBorders>
          <w:top w:val="single" w:sz="8" w:space="0" w:color="68878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8878E" w:themeColor="accent3"/>
          <w:insideH w:val="nil"/>
          <w:insideV w:val="nil"/>
        </w:tcBorders>
        <w:shd w:val="clear" w:color="auto" w:fill="FFFFFF" w:themeFill="background1"/>
      </w:tcPr>
    </w:tblStylePr>
    <w:tblStylePr w:type="lastCol">
      <w:tblPr/>
      <w:tcPr>
        <w:tcBorders>
          <w:top w:val="nil"/>
          <w:left w:val="single" w:sz="8" w:space="0" w:color="688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1E3" w:themeFill="accent3" w:themeFillTint="3F"/>
      </w:tcPr>
    </w:tblStylePr>
    <w:tblStylePr w:type="band1Horz">
      <w:tblPr/>
      <w:tcPr>
        <w:tcBorders>
          <w:top w:val="nil"/>
          <w:bottom w:val="nil"/>
          <w:insideH w:val="nil"/>
          <w:insideV w:val="nil"/>
        </w:tcBorders>
        <w:shd w:val="clear" w:color="auto" w:fill="D9E1E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7DCE2" w:themeColor="accent4"/>
        <w:left w:val="single" w:sz="8" w:space="0" w:color="D7DCE2" w:themeColor="accent4"/>
        <w:bottom w:val="single" w:sz="8" w:space="0" w:color="D7DCE2" w:themeColor="accent4"/>
        <w:right w:val="single" w:sz="8" w:space="0" w:color="D7DCE2" w:themeColor="accent4"/>
      </w:tblBorders>
    </w:tblPr>
    <w:tblStylePr w:type="firstRow">
      <w:rPr>
        <w:sz w:val="24"/>
        <w:szCs w:val="24"/>
      </w:rPr>
      <w:tblPr/>
      <w:tcPr>
        <w:tcBorders>
          <w:top w:val="nil"/>
          <w:left w:val="nil"/>
          <w:bottom w:val="single" w:sz="24" w:space="0" w:color="D7DCE2" w:themeColor="accent4"/>
          <w:right w:val="nil"/>
          <w:insideH w:val="nil"/>
          <w:insideV w:val="nil"/>
        </w:tcBorders>
        <w:shd w:val="clear" w:color="auto" w:fill="FFFFFF" w:themeFill="background1"/>
      </w:tcPr>
    </w:tblStylePr>
    <w:tblStylePr w:type="lastRow">
      <w:tblPr/>
      <w:tcPr>
        <w:tcBorders>
          <w:top w:val="single" w:sz="8" w:space="0" w:color="D7DCE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DCE2" w:themeColor="accent4"/>
          <w:insideH w:val="nil"/>
          <w:insideV w:val="nil"/>
        </w:tcBorders>
        <w:shd w:val="clear" w:color="auto" w:fill="FFFFFF" w:themeFill="background1"/>
      </w:tcPr>
    </w:tblStylePr>
    <w:tblStylePr w:type="lastCol">
      <w:tblPr/>
      <w:tcPr>
        <w:tcBorders>
          <w:top w:val="nil"/>
          <w:left w:val="single" w:sz="8" w:space="0" w:color="D7DCE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6F7" w:themeFill="accent4" w:themeFillTint="3F"/>
      </w:tcPr>
    </w:tblStylePr>
    <w:tblStylePr w:type="band1Horz">
      <w:tblPr/>
      <w:tcPr>
        <w:tcBorders>
          <w:top w:val="nil"/>
          <w:bottom w:val="nil"/>
          <w:insideH w:val="nil"/>
          <w:insideV w:val="nil"/>
        </w:tcBorders>
        <w:shd w:val="clear" w:color="auto" w:fill="F4F6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96A7E4" w:themeColor="accent5"/>
        <w:left w:val="single" w:sz="8" w:space="0" w:color="96A7E4" w:themeColor="accent5"/>
        <w:bottom w:val="single" w:sz="8" w:space="0" w:color="96A7E4" w:themeColor="accent5"/>
        <w:right w:val="single" w:sz="8" w:space="0" w:color="96A7E4" w:themeColor="accent5"/>
      </w:tblBorders>
    </w:tblPr>
    <w:tblStylePr w:type="firstRow">
      <w:rPr>
        <w:sz w:val="24"/>
        <w:szCs w:val="24"/>
      </w:rPr>
      <w:tblPr/>
      <w:tcPr>
        <w:tcBorders>
          <w:top w:val="nil"/>
          <w:left w:val="nil"/>
          <w:bottom w:val="single" w:sz="24" w:space="0" w:color="96A7E4" w:themeColor="accent5"/>
          <w:right w:val="nil"/>
          <w:insideH w:val="nil"/>
          <w:insideV w:val="nil"/>
        </w:tcBorders>
        <w:shd w:val="clear" w:color="auto" w:fill="FFFFFF" w:themeFill="background1"/>
      </w:tcPr>
    </w:tblStylePr>
    <w:tblStylePr w:type="lastRow">
      <w:tblPr/>
      <w:tcPr>
        <w:tcBorders>
          <w:top w:val="single" w:sz="8" w:space="0" w:color="96A7E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A7E4" w:themeColor="accent5"/>
          <w:insideH w:val="nil"/>
          <w:insideV w:val="nil"/>
        </w:tcBorders>
        <w:shd w:val="clear" w:color="auto" w:fill="FFFFFF" w:themeFill="background1"/>
      </w:tcPr>
    </w:tblStylePr>
    <w:tblStylePr w:type="lastCol">
      <w:tblPr/>
      <w:tcPr>
        <w:tcBorders>
          <w:top w:val="nil"/>
          <w:left w:val="single" w:sz="8" w:space="0" w:color="96A7E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9F8" w:themeFill="accent5" w:themeFillTint="3F"/>
      </w:tcPr>
    </w:tblStylePr>
    <w:tblStylePr w:type="band1Horz">
      <w:tblPr/>
      <w:tcPr>
        <w:tcBorders>
          <w:top w:val="nil"/>
          <w:bottom w:val="nil"/>
          <w:insideH w:val="nil"/>
          <w:insideV w:val="nil"/>
        </w:tcBorders>
        <w:shd w:val="clear" w:color="auto" w:fill="E5E9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AEAEA" w:themeColor="accent6"/>
        <w:left w:val="single" w:sz="8" w:space="0" w:color="EAEAEA" w:themeColor="accent6"/>
        <w:bottom w:val="single" w:sz="8" w:space="0" w:color="EAEAEA" w:themeColor="accent6"/>
        <w:right w:val="single" w:sz="8" w:space="0" w:color="EAEAEA" w:themeColor="accent6"/>
      </w:tblBorders>
    </w:tblPr>
    <w:tblStylePr w:type="firstRow">
      <w:rPr>
        <w:sz w:val="24"/>
        <w:szCs w:val="24"/>
      </w:rPr>
      <w:tblPr/>
      <w:tcPr>
        <w:tcBorders>
          <w:top w:val="nil"/>
          <w:left w:val="nil"/>
          <w:bottom w:val="single" w:sz="24" w:space="0" w:color="EAEAEA" w:themeColor="accent6"/>
          <w:right w:val="nil"/>
          <w:insideH w:val="nil"/>
          <w:insideV w:val="nil"/>
        </w:tcBorders>
        <w:shd w:val="clear" w:color="auto" w:fill="FFFFFF" w:themeFill="background1"/>
      </w:tcPr>
    </w:tblStylePr>
    <w:tblStylePr w:type="lastRow">
      <w:tblPr/>
      <w:tcPr>
        <w:tcBorders>
          <w:top w:val="single" w:sz="8" w:space="0" w:color="EAEAE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EAEA" w:themeColor="accent6"/>
          <w:insideH w:val="nil"/>
          <w:insideV w:val="nil"/>
        </w:tcBorders>
        <w:shd w:val="clear" w:color="auto" w:fill="FFFFFF" w:themeFill="background1"/>
      </w:tcPr>
    </w:tblStylePr>
    <w:tblStylePr w:type="lastCol">
      <w:tblPr/>
      <w:tcPr>
        <w:tcBorders>
          <w:top w:val="nil"/>
          <w:left w:val="single" w:sz="8" w:space="0" w:color="EAEAE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9F9" w:themeFill="accent6" w:themeFillTint="3F"/>
      </w:tcPr>
    </w:tblStylePr>
    <w:tblStylePr w:type="band1Horz">
      <w:tblPr/>
      <w:tcPr>
        <w:tcBorders>
          <w:top w:val="nil"/>
          <w:bottom w:val="nil"/>
          <w:insideH w:val="nil"/>
          <w:insideV w:val="nil"/>
        </w:tcBorders>
        <w:shd w:val="clear" w:color="auto" w:fill="F9F9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3A5BCC" w:themeColor="accent1" w:themeTint="BF"/>
        <w:left w:val="single" w:sz="8" w:space="0" w:color="3A5BCC" w:themeColor="accent1" w:themeTint="BF"/>
        <w:bottom w:val="single" w:sz="8" w:space="0" w:color="3A5BCC" w:themeColor="accent1" w:themeTint="BF"/>
        <w:right w:val="single" w:sz="8" w:space="0" w:color="3A5BCC" w:themeColor="accent1" w:themeTint="BF"/>
        <w:insideH w:val="single" w:sz="8" w:space="0" w:color="3A5BCC" w:themeColor="accent1" w:themeTint="BF"/>
      </w:tblBorders>
    </w:tblPr>
    <w:tblStylePr w:type="firstRow">
      <w:pPr>
        <w:spacing w:before="0" w:after="0" w:line="240" w:lineRule="auto"/>
      </w:pPr>
      <w:rPr>
        <w:b/>
        <w:bCs/>
        <w:color w:val="FFFFFF" w:themeColor="background1"/>
      </w:rPr>
      <w:tblPr/>
      <w:tcPr>
        <w:tcBorders>
          <w:top w:val="single" w:sz="8" w:space="0" w:color="3A5BCC" w:themeColor="accent1" w:themeTint="BF"/>
          <w:left w:val="single" w:sz="8" w:space="0" w:color="3A5BCC" w:themeColor="accent1" w:themeTint="BF"/>
          <w:bottom w:val="single" w:sz="8" w:space="0" w:color="3A5BCC" w:themeColor="accent1" w:themeTint="BF"/>
          <w:right w:val="single" w:sz="8" w:space="0" w:color="3A5BCC" w:themeColor="accent1" w:themeTint="BF"/>
          <w:insideH w:val="nil"/>
          <w:insideV w:val="nil"/>
        </w:tcBorders>
        <w:shd w:val="clear" w:color="auto" w:fill="253D90" w:themeFill="accent1"/>
      </w:tcPr>
    </w:tblStylePr>
    <w:tblStylePr w:type="lastRow">
      <w:pPr>
        <w:spacing w:before="0" w:after="0" w:line="240" w:lineRule="auto"/>
      </w:pPr>
      <w:rPr>
        <w:b/>
        <w:bCs/>
      </w:rPr>
      <w:tblPr/>
      <w:tcPr>
        <w:tcBorders>
          <w:top w:val="double" w:sz="6" w:space="0" w:color="3A5BCC" w:themeColor="accent1" w:themeTint="BF"/>
          <w:left w:val="single" w:sz="8" w:space="0" w:color="3A5BCC" w:themeColor="accent1" w:themeTint="BF"/>
          <w:bottom w:val="single" w:sz="8" w:space="0" w:color="3A5BCC" w:themeColor="accent1" w:themeTint="BF"/>
          <w:right w:val="single" w:sz="8" w:space="0" w:color="3A5BCC"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C8EE" w:themeFill="accent1" w:themeFillTint="3F"/>
      </w:tcPr>
    </w:tblStylePr>
    <w:tblStylePr w:type="band1Horz">
      <w:tblPr/>
      <w:tcPr>
        <w:tcBorders>
          <w:insideH w:val="nil"/>
          <w:insideV w:val="nil"/>
        </w:tcBorders>
        <w:shd w:val="clear" w:color="auto" w:fill="BEC8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F69A57" w:themeColor="accent2" w:themeTint="BF"/>
        <w:left w:val="single" w:sz="8" w:space="0" w:color="F69A57" w:themeColor="accent2" w:themeTint="BF"/>
        <w:bottom w:val="single" w:sz="8" w:space="0" w:color="F69A57" w:themeColor="accent2" w:themeTint="BF"/>
        <w:right w:val="single" w:sz="8" w:space="0" w:color="F69A57" w:themeColor="accent2" w:themeTint="BF"/>
        <w:insideH w:val="single" w:sz="8" w:space="0" w:color="F69A57" w:themeColor="accent2" w:themeTint="BF"/>
      </w:tblBorders>
    </w:tblPr>
    <w:tblStylePr w:type="firstRow">
      <w:pPr>
        <w:spacing w:before="0" w:after="0" w:line="240" w:lineRule="auto"/>
      </w:pPr>
      <w:rPr>
        <w:b/>
        <w:bCs/>
        <w:color w:val="FFFFFF" w:themeColor="background1"/>
      </w:rPr>
      <w:tblPr/>
      <w:tcPr>
        <w:tcBorders>
          <w:top w:val="single" w:sz="8" w:space="0" w:color="F69A57" w:themeColor="accent2" w:themeTint="BF"/>
          <w:left w:val="single" w:sz="8" w:space="0" w:color="F69A57" w:themeColor="accent2" w:themeTint="BF"/>
          <w:bottom w:val="single" w:sz="8" w:space="0" w:color="F69A57" w:themeColor="accent2" w:themeTint="BF"/>
          <w:right w:val="single" w:sz="8" w:space="0" w:color="F69A57" w:themeColor="accent2" w:themeTint="BF"/>
          <w:insideH w:val="nil"/>
          <w:insideV w:val="nil"/>
        </w:tcBorders>
        <w:shd w:val="clear" w:color="auto" w:fill="F47920" w:themeFill="accent2"/>
      </w:tcPr>
    </w:tblStylePr>
    <w:tblStylePr w:type="lastRow">
      <w:pPr>
        <w:spacing w:before="0" w:after="0" w:line="240" w:lineRule="auto"/>
      </w:pPr>
      <w:rPr>
        <w:b/>
        <w:bCs/>
      </w:rPr>
      <w:tblPr/>
      <w:tcPr>
        <w:tcBorders>
          <w:top w:val="double" w:sz="6" w:space="0" w:color="F69A57" w:themeColor="accent2" w:themeTint="BF"/>
          <w:left w:val="single" w:sz="8" w:space="0" w:color="F69A57" w:themeColor="accent2" w:themeTint="BF"/>
          <w:bottom w:val="single" w:sz="8" w:space="0" w:color="F69A57" w:themeColor="accent2" w:themeTint="BF"/>
          <w:right w:val="single" w:sz="8" w:space="0" w:color="F69A5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DDC7" w:themeFill="accent2" w:themeFillTint="3F"/>
      </w:tcPr>
    </w:tblStylePr>
    <w:tblStylePr w:type="band1Horz">
      <w:tblPr/>
      <w:tcPr>
        <w:tcBorders>
          <w:insideH w:val="nil"/>
          <w:insideV w:val="nil"/>
        </w:tcBorders>
        <w:shd w:val="clear" w:color="auto" w:fill="FCDDC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8CA5AB" w:themeColor="accent3" w:themeTint="BF"/>
        <w:left w:val="single" w:sz="8" w:space="0" w:color="8CA5AB" w:themeColor="accent3" w:themeTint="BF"/>
        <w:bottom w:val="single" w:sz="8" w:space="0" w:color="8CA5AB" w:themeColor="accent3" w:themeTint="BF"/>
        <w:right w:val="single" w:sz="8" w:space="0" w:color="8CA5AB" w:themeColor="accent3" w:themeTint="BF"/>
        <w:insideH w:val="single" w:sz="8" w:space="0" w:color="8CA5AB" w:themeColor="accent3" w:themeTint="BF"/>
      </w:tblBorders>
    </w:tblPr>
    <w:tblStylePr w:type="firstRow">
      <w:pPr>
        <w:spacing w:before="0" w:after="0" w:line="240" w:lineRule="auto"/>
      </w:pPr>
      <w:rPr>
        <w:b/>
        <w:bCs/>
        <w:color w:val="FFFFFF" w:themeColor="background1"/>
      </w:rPr>
      <w:tblPr/>
      <w:tcPr>
        <w:tcBorders>
          <w:top w:val="single" w:sz="8" w:space="0" w:color="8CA5AB" w:themeColor="accent3" w:themeTint="BF"/>
          <w:left w:val="single" w:sz="8" w:space="0" w:color="8CA5AB" w:themeColor="accent3" w:themeTint="BF"/>
          <w:bottom w:val="single" w:sz="8" w:space="0" w:color="8CA5AB" w:themeColor="accent3" w:themeTint="BF"/>
          <w:right w:val="single" w:sz="8" w:space="0" w:color="8CA5AB" w:themeColor="accent3" w:themeTint="BF"/>
          <w:insideH w:val="nil"/>
          <w:insideV w:val="nil"/>
        </w:tcBorders>
        <w:shd w:val="clear" w:color="auto" w:fill="68878E" w:themeFill="accent3"/>
      </w:tcPr>
    </w:tblStylePr>
    <w:tblStylePr w:type="lastRow">
      <w:pPr>
        <w:spacing w:before="0" w:after="0" w:line="240" w:lineRule="auto"/>
      </w:pPr>
      <w:rPr>
        <w:b/>
        <w:bCs/>
      </w:rPr>
      <w:tblPr/>
      <w:tcPr>
        <w:tcBorders>
          <w:top w:val="double" w:sz="6" w:space="0" w:color="8CA5AB" w:themeColor="accent3" w:themeTint="BF"/>
          <w:left w:val="single" w:sz="8" w:space="0" w:color="8CA5AB" w:themeColor="accent3" w:themeTint="BF"/>
          <w:bottom w:val="single" w:sz="8" w:space="0" w:color="8CA5AB" w:themeColor="accent3" w:themeTint="BF"/>
          <w:right w:val="single" w:sz="8" w:space="0" w:color="8CA5A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E1E3" w:themeFill="accent3" w:themeFillTint="3F"/>
      </w:tcPr>
    </w:tblStylePr>
    <w:tblStylePr w:type="band1Horz">
      <w:tblPr/>
      <w:tcPr>
        <w:tcBorders>
          <w:insideH w:val="nil"/>
          <w:insideV w:val="nil"/>
        </w:tcBorders>
        <w:shd w:val="clear" w:color="auto" w:fill="D9E1E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E0E4E9" w:themeColor="accent4" w:themeTint="BF"/>
        <w:left w:val="single" w:sz="8" w:space="0" w:color="E0E4E9" w:themeColor="accent4" w:themeTint="BF"/>
        <w:bottom w:val="single" w:sz="8" w:space="0" w:color="E0E4E9" w:themeColor="accent4" w:themeTint="BF"/>
        <w:right w:val="single" w:sz="8" w:space="0" w:color="E0E4E9" w:themeColor="accent4" w:themeTint="BF"/>
        <w:insideH w:val="single" w:sz="8" w:space="0" w:color="E0E4E9" w:themeColor="accent4" w:themeTint="BF"/>
      </w:tblBorders>
    </w:tblPr>
    <w:tblStylePr w:type="firstRow">
      <w:pPr>
        <w:spacing w:before="0" w:after="0" w:line="240" w:lineRule="auto"/>
      </w:pPr>
      <w:rPr>
        <w:b/>
        <w:bCs/>
        <w:color w:val="FFFFFF" w:themeColor="background1"/>
      </w:rPr>
      <w:tblPr/>
      <w:tcPr>
        <w:tcBorders>
          <w:top w:val="single" w:sz="8" w:space="0" w:color="E0E4E9" w:themeColor="accent4" w:themeTint="BF"/>
          <w:left w:val="single" w:sz="8" w:space="0" w:color="E0E4E9" w:themeColor="accent4" w:themeTint="BF"/>
          <w:bottom w:val="single" w:sz="8" w:space="0" w:color="E0E4E9" w:themeColor="accent4" w:themeTint="BF"/>
          <w:right w:val="single" w:sz="8" w:space="0" w:color="E0E4E9" w:themeColor="accent4" w:themeTint="BF"/>
          <w:insideH w:val="nil"/>
          <w:insideV w:val="nil"/>
        </w:tcBorders>
        <w:shd w:val="clear" w:color="auto" w:fill="D7DCE2" w:themeFill="accent4"/>
      </w:tcPr>
    </w:tblStylePr>
    <w:tblStylePr w:type="lastRow">
      <w:pPr>
        <w:spacing w:before="0" w:after="0" w:line="240" w:lineRule="auto"/>
      </w:pPr>
      <w:rPr>
        <w:b/>
        <w:bCs/>
      </w:rPr>
      <w:tblPr/>
      <w:tcPr>
        <w:tcBorders>
          <w:top w:val="double" w:sz="6" w:space="0" w:color="E0E4E9" w:themeColor="accent4" w:themeTint="BF"/>
          <w:left w:val="single" w:sz="8" w:space="0" w:color="E0E4E9" w:themeColor="accent4" w:themeTint="BF"/>
          <w:bottom w:val="single" w:sz="8" w:space="0" w:color="E0E4E9" w:themeColor="accent4" w:themeTint="BF"/>
          <w:right w:val="single" w:sz="8" w:space="0" w:color="E0E4E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4F6F7" w:themeFill="accent4" w:themeFillTint="3F"/>
      </w:tcPr>
    </w:tblStylePr>
    <w:tblStylePr w:type="band1Horz">
      <w:tblPr/>
      <w:tcPr>
        <w:tcBorders>
          <w:insideH w:val="nil"/>
          <w:insideV w:val="nil"/>
        </w:tcBorders>
        <w:shd w:val="clear" w:color="auto" w:fill="F4F6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B0BCEA" w:themeColor="accent5" w:themeTint="BF"/>
        <w:left w:val="single" w:sz="8" w:space="0" w:color="B0BCEA" w:themeColor="accent5" w:themeTint="BF"/>
        <w:bottom w:val="single" w:sz="8" w:space="0" w:color="B0BCEA" w:themeColor="accent5" w:themeTint="BF"/>
        <w:right w:val="single" w:sz="8" w:space="0" w:color="B0BCEA" w:themeColor="accent5" w:themeTint="BF"/>
        <w:insideH w:val="single" w:sz="8" w:space="0" w:color="B0BCEA" w:themeColor="accent5" w:themeTint="BF"/>
      </w:tblBorders>
    </w:tblPr>
    <w:tblStylePr w:type="firstRow">
      <w:pPr>
        <w:spacing w:before="0" w:after="0" w:line="240" w:lineRule="auto"/>
      </w:pPr>
      <w:rPr>
        <w:b/>
        <w:bCs/>
        <w:color w:val="FFFFFF" w:themeColor="background1"/>
      </w:rPr>
      <w:tblPr/>
      <w:tcPr>
        <w:tcBorders>
          <w:top w:val="single" w:sz="8" w:space="0" w:color="B0BCEA" w:themeColor="accent5" w:themeTint="BF"/>
          <w:left w:val="single" w:sz="8" w:space="0" w:color="B0BCEA" w:themeColor="accent5" w:themeTint="BF"/>
          <w:bottom w:val="single" w:sz="8" w:space="0" w:color="B0BCEA" w:themeColor="accent5" w:themeTint="BF"/>
          <w:right w:val="single" w:sz="8" w:space="0" w:color="B0BCEA" w:themeColor="accent5" w:themeTint="BF"/>
          <w:insideH w:val="nil"/>
          <w:insideV w:val="nil"/>
        </w:tcBorders>
        <w:shd w:val="clear" w:color="auto" w:fill="96A7E4" w:themeFill="accent5"/>
      </w:tcPr>
    </w:tblStylePr>
    <w:tblStylePr w:type="lastRow">
      <w:pPr>
        <w:spacing w:before="0" w:after="0" w:line="240" w:lineRule="auto"/>
      </w:pPr>
      <w:rPr>
        <w:b/>
        <w:bCs/>
      </w:rPr>
      <w:tblPr/>
      <w:tcPr>
        <w:tcBorders>
          <w:top w:val="double" w:sz="6" w:space="0" w:color="B0BCEA" w:themeColor="accent5" w:themeTint="BF"/>
          <w:left w:val="single" w:sz="8" w:space="0" w:color="B0BCEA" w:themeColor="accent5" w:themeTint="BF"/>
          <w:bottom w:val="single" w:sz="8" w:space="0" w:color="B0BCEA" w:themeColor="accent5" w:themeTint="BF"/>
          <w:right w:val="single" w:sz="8" w:space="0" w:color="B0BCE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9F8" w:themeFill="accent5" w:themeFillTint="3F"/>
      </w:tcPr>
    </w:tblStylePr>
    <w:tblStylePr w:type="band1Horz">
      <w:tblPr/>
      <w:tcPr>
        <w:tcBorders>
          <w:insideH w:val="nil"/>
          <w:insideV w:val="nil"/>
        </w:tcBorders>
        <w:shd w:val="clear" w:color="auto" w:fill="E5E9F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EFEFEF" w:themeColor="accent6" w:themeTint="BF"/>
        <w:left w:val="single" w:sz="8" w:space="0" w:color="EFEFEF" w:themeColor="accent6" w:themeTint="BF"/>
        <w:bottom w:val="single" w:sz="8" w:space="0" w:color="EFEFEF" w:themeColor="accent6" w:themeTint="BF"/>
        <w:right w:val="single" w:sz="8" w:space="0" w:color="EFEFEF" w:themeColor="accent6" w:themeTint="BF"/>
        <w:insideH w:val="single" w:sz="8" w:space="0" w:color="EFEFEF" w:themeColor="accent6" w:themeTint="BF"/>
      </w:tblBorders>
    </w:tblPr>
    <w:tblStylePr w:type="firstRow">
      <w:pPr>
        <w:spacing w:before="0" w:after="0" w:line="240" w:lineRule="auto"/>
      </w:pPr>
      <w:rPr>
        <w:b/>
        <w:bCs/>
        <w:color w:val="FFFFFF" w:themeColor="background1"/>
      </w:rPr>
      <w:tblPr/>
      <w:tcPr>
        <w:tcBorders>
          <w:top w:val="single" w:sz="8" w:space="0" w:color="EFEFEF" w:themeColor="accent6" w:themeTint="BF"/>
          <w:left w:val="single" w:sz="8" w:space="0" w:color="EFEFEF" w:themeColor="accent6" w:themeTint="BF"/>
          <w:bottom w:val="single" w:sz="8" w:space="0" w:color="EFEFEF" w:themeColor="accent6" w:themeTint="BF"/>
          <w:right w:val="single" w:sz="8" w:space="0" w:color="EFEFEF" w:themeColor="accent6" w:themeTint="BF"/>
          <w:insideH w:val="nil"/>
          <w:insideV w:val="nil"/>
        </w:tcBorders>
        <w:shd w:val="clear" w:color="auto" w:fill="EAEAEA" w:themeFill="accent6"/>
      </w:tcPr>
    </w:tblStylePr>
    <w:tblStylePr w:type="lastRow">
      <w:pPr>
        <w:spacing w:before="0" w:after="0" w:line="240" w:lineRule="auto"/>
      </w:pPr>
      <w:rPr>
        <w:b/>
        <w:bCs/>
      </w:rPr>
      <w:tblPr/>
      <w:tcPr>
        <w:tcBorders>
          <w:top w:val="double" w:sz="6" w:space="0" w:color="EFEFEF" w:themeColor="accent6" w:themeTint="BF"/>
          <w:left w:val="single" w:sz="8" w:space="0" w:color="EFEFEF" w:themeColor="accent6" w:themeTint="BF"/>
          <w:bottom w:val="single" w:sz="8" w:space="0" w:color="EFEFEF" w:themeColor="accent6" w:themeTint="BF"/>
          <w:right w:val="single" w:sz="8" w:space="0" w:color="EFEFE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F9F9" w:themeFill="accent6" w:themeFillTint="3F"/>
      </w:tcPr>
    </w:tblStylePr>
    <w:tblStylePr w:type="band1Horz">
      <w:tblPr/>
      <w:tcPr>
        <w:tcBorders>
          <w:insideH w:val="nil"/>
          <w:insideV w:val="nil"/>
        </w:tcBorders>
        <w:shd w:val="clear" w:color="auto" w:fill="F9F9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53D9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53D90" w:themeFill="accent1"/>
      </w:tcPr>
    </w:tblStylePr>
    <w:tblStylePr w:type="lastCol">
      <w:rPr>
        <w:b/>
        <w:bCs/>
        <w:color w:val="FFFFFF" w:themeColor="background1"/>
      </w:rPr>
      <w:tblPr/>
      <w:tcPr>
        <w:tcBorders>
          <w:left w:val="nil"/>
          <w:right w:val="nil"/>
          <w:insideH w:val="nil"/>
          <w:insideV w:val="nil"/>
        </w:tcBorders>
        <w:shd w:val="clear" w:color="auto" w:fill="253D9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79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7920" w:themeFill="accent2"/>
      </w:tcPr>
    </w:tblStylePr>
    <w:tblStylePr w:type="lastCol">
      <w:rPr>
        <w:b/>
        <w:bCs/>
        <w:color w:val="FFFFFF" w:themeColor="background1"/>
      </w:rPr>
      <w:tblPr/>
      <w:tcPr>
        <w:tcBorders>
          <w:left w:val="nil"/>
          <w:right w:val="nil"/>
          <w:insideH w:val="nil"/>
          <w:insideV w:val="nil"/>
        </w:tcBorders>
        <w:shd w:val="clear" w:color="auto" w:fill="F479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88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8878E" w:themeFill="accent3"/>
      </w:tcPr>
    </w:tblStylePr>
    <w:tblStylePr w:type="lastCol">
      <w:rPr>
        <w:b/>
        <w:bCs/>
        <w:color w:val="FFFFFF" w:themeColor="background1"/>
      </w:rPr>
      <w:tblPr/>
      <w:tcPr>
        <w:tcBorders>
          <w:left w:val="nil"/>
          <w:right w:val="nil"/>
          <w:insideH w:val="nil"/>
          <w:insideV w:val="nil"/>
        </w:tcBorders>
        <w:shd w:val="clear" w:color="auto" w:fill="688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DCE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DCE2" w:themeFill="accent4"/>
      </w:tcPr>
    </w:tblStylePr>
    <w:tblStylePr w:type="lastCol">
      <w:rPr>
        <w:b/>
        <w:bCs/>
        <w:color w:val="FFFFFF" w:themeColor="background1"/>
      </w:rPr>
      <w:tblPr/>
      <w:tcPr>
        <w:tcBorders>
          <w:left w:val="nil"/>
          <w:right w:val="nil"/>
          <w:insideH w:val="nil"/>
          <w:insideV w:val="nil"/>
        </w:tcBorders>
        <w:shd w:val="clear" w:color="auto" w:fill="D7DCE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A7E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A7E4" w:themeFill="accent5"/>
      </w:tcPr>
    </w:tblStylePr>
    <w:tblStylePr w:type="lastCol">
      <w:rPr>
        <w:b/>
        <w:bCs/>
        <w:color w:val="FFFFFF" w:themeColor="background1"/>
      </w:rPr>
      <w:tblPr/>
      <w:tcPr>
        <w:tcBorders>
          <w:left w:val="nil"/>
          <w:right w:val="nil"/>
          <w:insideH w:val="nil"/>
          <w:insideV w:val="nil"/>
        </w:tcBorders>
        <w:shd w:val="clear" w:color="auto" w:fill="96A7E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EAE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EAEA" w:themeFill="accent6"/>
      </w:tcPr>
    </w:tblStylePr>
    <w:tblStylePr w:type="lastCol">
      <w:rPr>
        <w:b/>
        <w:bCs/>
        <w:color w:val="FFFFFF" w:themeColor="background1"/>
      </w:rPr>
      <w:tblPr/>
      <w:tcPr>
        <w:tcBorders>
          <w:left w:val="nil"/>
          <w:right w:val="nil"/>
          <w:insideH w:val="nil"/>
          <w:insideV w:val="nil"/>
        </w:tcBorders>
        <w:shd w:val="clear" w:color="auto" w:fill="EAEAE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9"/>
    <w:qFormat/>
    <w:rsid w:val="00F80750"/>
    <w:pPr>
      <w:spacing w:after="0" w:line="240" w:lineRule="auto"/>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rsid w:val="00EB22DC"/>
    <w:rPr>
      <w:noProof w:val="0"/>
      <w:color w:val="253D90" w:themeColor="text2"/>
      <w:sz w:val="16"/>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53D90"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53D90"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F47920"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0">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rsid w:val="00E51D10"/>
    <w:pPr>
      <w:tabs>
        <w:tab w:val="left" w:pos="851"/>
        <w:tab w:val="right" w:pos="8505"/>
      </w:tabs>
      <w:spacing w:after="60"/>
      <w:ind w:left="851" w:hanging="851"/>
      <w:contextualSpacing/>
    </w:pPr>
    <w:rPr>
      <w:sz w:val="19"/>
    </w:r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433A25"/>
    <w:pPr>
      <w:tabs>
        <w:tab w:val="left" w:pos="567"/>
        <w:tab w:val="right" w:pos="8505"/>
      </w:tabs>
      <w:spacing w:after="60"/>
      <w:contextualSpacing/>
    </w:pPr>
    <w:rPr>
      <w:sz w:val="19"/>
    </w:rPr>
  </w:style>
  <w:style w:type="paragraph" w:styleId="TOC3">
    <w:name w:val="toc 3"/>
    <w:basedOn w:val="Normal"/>
    <w:next w:val="Normal"/>
    <w:autoRedefine/>
    <w:uiPriority w:val="39"/>
    <w:rsid w:val="0049046A"/>
    <w:pPr>
      <w:tabs>
        <w:tab w:val="left" w:pos="851"/>
        <w:tab w:val="right" w:pos="8505"/>
      </w:tabs>
      <w:spacing w:after="60"/>
      <w:ind w:left="1134" w:hanging="567"/>
      <w:contextualSpacing/>
    </w:pPr>
    <w:rPr>
      <w:sz w:val="19"/>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customStyle="1" w:styleId="GeneralList">
    <w:name w:val="General List"/>
    <w:uiPriority w:val="99"/>
    <w:locked/>
    <w:rsid w:val="00503A51"/>
    <w:pPr>
      <w:numPr>
        <w:numId w:val="5"/>
      </w:numPr>
    </w:pPr>
  </w:style>
  <w:style w:type="numbering" w:customStyle="1" w:styleId="CustomHeadingList">
    <w:name w:val="Custom Heading List"/>
    <w:uiPriority w:val="99"/>
    <w:locked/>
    <w:rsid w:val="003A3021"/>
    <w:pPr>
      <w:numPr>
        <w:numId w:val="7"/>
      </w:numPr>
    </w:pPr>
  </w:style>
  <w:style w:type="paragraph" w:customStyle="1" w:styleId="Introduction">
    <w:name w:val="Introduction"/>
    <w:basedOn w:val="Normal"/>
    <w:uiPriority w:val="11"/>
    <w:qFormat/>
    <w:rsid w:val="000E1E1B"/>
    <w:rPr>
      <w:color w:val="000000" w:themeColor="text1"/>
      <w:sz w:val="22"/>
    </w:rPr>
  </w:style>
  <w:style w:type="table" w:styleId="TableGridLight">
    <w:name w:val="Grid Table Light"/>
    <w:basedOn w:val="TableNormal"/>
    <w:uiPriority w:val="40"/>
    <w:rsid w:val="00154B1C"/>
    <w:pPr>
      <w:spacing w:before="120" w:line="220" w:lineRule="exact"/>
      <w:jc w:val="left"/>
    </w:pPr>
    <w:tblPr>
      <w:tblBorders>
        <w:top w:val="single" w:sz="4" w:space="0" w:color="000000" w:themeColor="text1"/>
        <w:bottom w:val="single" w:sz="4" w:space="0" w:color="000000" w:themeColor="text1"/>
        <w:insideH w:val="single" w:sz="4" w:space="0" w:color="000000" w:themeColor="text1"/>
      </w:tblBorders>
      <w:tblCellMar>
        <w:top w:w="28" w:type="dxa"/>
        <w:left w:w="85" w:type="dxa"/>
        <w:bottom w:w="28" w:type="dxa"/>
        <w:right w:w="85" w:type="dxa"/>
      </w:tblCellMar>
    </w:tblPr>
    <w:tcPr>
      <w:vAlign w:val="center"/>
    </w:tcPr>
    <w:tblStylePr w:type="firstRow">
      <w:pPr>
        <w:jc w:val="left"/>
      </w:pPr>
      <w:rPr>
        <w:b/>
        <w:color w:val="F47920" w:themeColor="background2"/>
      </w:rPr>
      <w:tblPr/>
      <w:tcPr>
        <w:tcBorders>
          <w:top w:val="nil"/>
        </w:tcBorders>
      </w:tcPr>
    </w:tblStylePr>
  </w:style>
  <w:style w:type="numbering" w:customStyle="1" w:styleId="AppendixList">
    <w:name w:val="Appendix List"/>
    <w:uiPriority w:val="99"/>
    <w:rsid w:val="002C6772"/>
    <w:pPr>
      <w:numPr>
        <w:numId w:val="16"/>
      </w:numPr>
    </w:pPr>
  </w:style>
  <w:style w:type="paragraph" w:customStyle="1" w:styleId="AppendixHeading">
    <w:name w:val="Appendix Heading"/>
    <w:basedOn w:val="Heading1"/>
    <w:next w:val="Normal"/>
    <w:uiPriority w:val="10"/>
    <w:qFormat/>
    <w:rsid w:val="00D90AF9"/>
    <w:pPr>
      <w:framePr w:w="8505" w:vSpace="7938" w:wrap="notBeside" w:vAnchor="page" w:hAnchor="margin" w:xAlign="right" w:yAlign="center"/>
      <w:numPr>
        <w:numId w:val="9"/>
      </w:numPr>
      <w:spacing w:before="480" w:after="480"/>
      <w:jc w:val="right"/>
    </w:pPr>
    <w:rPr>
      <w:caps/>
      <w:color w:val="F47920" w:themeColor="background2"/>
      <w:sz w:val="48"/>
    </w:rPr>
  </w:style>
  <w:style w:type="paragraph" w:customStyle="1" w:styleId="AppendixSubHeading">
    <w:name w:val="Appendix Sub Heading"/>
    <w:basedOn w:val="Heading2"/>
    <w:uiPriority w:val="10"/>
    <w:qFormat/>
    <w:rsid w:val="00975EF2"/>
    <w:pPr>
      <w:numPr>
        <w:numId w:val="18"/>
      </w:numPr>
    </w:pPr>
  </w:style>
  <w:style w:type="paragraph" w:customStyle="1" w:styleId="Heading1NoNumber">
    <w:name w:val="Heading 1 No Number"/>
    <w:basedOn w:val="Heading1"/>
    <w:uiPriority w:val="20"/>
    <w:semiHidden/>
    <w:qFormat/>
    <w:locked/>
    <w:rsid w:val="00BA627A"/>
    <w:pPr>
      <w:numPr>
        <w:numId w:val="0"/>
      </w:numPr>
    </w:pPr>
  </w:style>
  <w:style w:type="paragraph" w:customStyle="1" w:styleId="Heading2NoNumber">
    <w:name w:val="Heading 2 No Number"/>
    <w:basedOn w:val="Heading2"/>
    <w:uiPriority w:val="20"/>
    <w:semiHidden/>
    <w:qFormat/>
    <w:locked/>
    <w:rsid w:val="00BA627A"/>
    <w:pPr>
      <w:numPr>
        <w:numId w:val="0"/>
      </w:numPr>
    </w:pPr>
  </w:style>
  <w:style w:type="paragraph" w:customStyle="1" w:styleId="Heading3NoNumber">
    <w:name w:val="Heading 3 No Number"/>
    <w:basedOn w:val="Heading3"/>
    <w:uiPriority w:val="20"/>
    <w:semiHidden/>
    <w:qFormat/>
    <w:locked/>
    <w:rsid w:val="00BA627A"/>
    <w:pPr>
      <w:ind w:left="0" w:firstLine="0"/>
    </w:pPr>
  </w:style>
  <w:style w:type="paragraph" w:customStyle="1" w:styleId="Heading4NoNumber">
    <w:name w:val="Heading 4 No Number"/>
    <w:basedOn w:val="Heading4"/>
    <w:uiPriority w:val="20"/>
    <w:semiHidden/>
    <w:qFormat/>
    <w:locked/>
    <w:rsid w:val="00BA627A"/>
    <w:pPr>
      <w:numPr>
        <w:ilvl w:val="0"/>
        <w:numId w:val="0"/>
      </w:numPr>
    </w:pPr>
  </w:style>
  <w:style w:type="paragraph" w:customStyle="1" w:styleId="Titleforsecondpage">
    <w:name w:val="Title for second page"/>
    <w:basedOn w:val="Normal"/>
    <w:uiPriority w:val="21"/>
    <w:qFormat/>
    <w:rsid w:val="00EC66A3"/>
    <w:pPr>
      <w:spacing w:after="0"/>
    </w:pPr>
    <w:rPr>
      <w:b/>
      <w:color w:val="253D90" w:themeColor="text2"/>
      <w:sz w:val="48"/>
    </w:rPr>
  </w:style>
  <w:style w:type="paragraph" w:customStyle="1" w:styleId="Subtitleforsecondpage">
    <w:name w:val="Subtitle for second page"/>
    <w:basedOn w:val="Normal"/>
    <w:next w:val="Normal"/>
    <w:uiPriority w:val="22"/>
    <w:qFormat/>
    <w:rsid w:val="00EC66A3"/>
    <w:pPr>
      <w:spacing w:before="40" w:after="5400"/>
      <w:contextualSpacing/>
    </w:pPr>
    <w:rPr>
      <w:b/>
      <w:color w:val="68878E" w:themeColor="accent3"/>
      <w:sz w:val="30"/>
    </w:rPr>
  </w:style>
  <w:style w:type="paragraph" w:customStyle="1" w:styleId="BodyBold">
    <w:name w:val="Body Bold"/>
    <w:basedOn w:val="Normal"/>
    <w:uiPriority w:val="1"/>
    <w:qFormat/>
    <w:rsid w:val="00795D72"/>
    <w:rPr>
      <w:rFonts w:asciiTheme="majorHAnsi" w:hAnsiTheme="majorHAnsi"/>
      <w:b/>
    </w:rPr>
  </w:style>
  <w:style w:type="paragraph" w:customStyle="1" w:styleId="PreparedforBody">
    <w:name w:val="Prepared for Body"/>
    <w:basedOn w:val="BodyBold"/>
    <w:uiPriority w:val="99"/>
    <w:qFormat/>
    <w:rsid w:val="002A4183"/>
    <w:pPr>
      <w:spacing w:after="1560"/>
      <w:contextualSpacing/>
    </w:pPr>
    <w:rPr>
      <w:b w:val="0"/>
    </w:rPr>
  </w:style>
  <w:style w:type="paragraph" w:customStyle="1" w:styleId="ABNAddressSecondpage">
    <w:name w:val="ABN Address Second page"/>
    <w:basedOn w:val="Normal"/>
    <w:uiPriority w:val="99"/>
    <w:qFormat/>
    <w:rsid w:val="003205CD"/>
    <w:pPr>
      <w:framePr w:w="5670" w:h="567" w:wrap="notBeside" w:vAnchor="page" w:hAnchor="margin" w:y="13609"/>
      <w:tabs>
        <w:tab w:val="left" w:pos="567"/>
        <w:tab w:val="left" w:pos="680"/>
      </w:tabs>
      <w:spacing w:after="0"/>
      <w:jc w:val="left"/>
    </w:pPr>
    <w:rPr>
      <w:color w:val="68878E" w:themeColor="accent3"/>
    </w:rPr>
  </w:style>
  <w:style w:type="paragraph" w:customStyle="1" w:styleId="Header2">
    <w:name w:val="Header 2"/>
    <w:basedOn w:val="Header"/>
    <w:uiPriority w:val="99"/>
    <w:qFormat/>
    <w:rsid w:val="00360AA8"/>
    <w:pPr>
      <w:framePr w:w="3402" w:h="851" w:hRule="exact" w:wrap="around" w:vAnchor="page" w:hAnchor="page" w:x="1419" w:y="398"/>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FFFFFF" w:themeFill="background1"/>
      <w:ind w:left="0"/>
    </w:pPr>
    <w:rPr>
      <w:noProof/>
    </w:rPr>
  </w:style>
  <w:style w:type="paragraph" w:customStyle="1" w:styleId="Header3">
    <w:name w:val="Header 3"/>
    <w:basedOn w:val="Header2"/>
    <w:uiPriority w:val="99"/>
    <w:qFormat/>
    <w:rsid w:val="000F6E25"/>
    <w:pPr>
      <w:framePr w:wrap="around"/>
    </w:pPr>
    <w:rPr>
      <w:color w:val="000000" w:themeColor="text1"/>
    </w:rPr>
  </w:style>
  <w:style w:type="paragraph" w:customStyle="1" w:styleId="SubHeading2">
    <w:name w:val="Sub Heading 2"/>
    <w:basedOn w:val="SubHeading"/>
    <w:uiPriority w:val="9"/>
    <w:qFormat/>
    <w:rsid w:val="000E1E1B"/>
    <w:pPr>
      <w:spacing w:before="240"/>
    </w:pPr>
    <w:rPr>
      <w:sz w:val="22"/>
    </w:rPr>
  </w:style>
  <w:style w:type="numbering" w:customStyle="1" w:styleId="dotlist">
    <w:name w:val="dot list"/>
    <w:basedOn w:val="NoList"/>
    <w:uiPriority w:val="99"/>
    <w:locked/>
    <w:rsid w:val="002C1848"/>
    <w:pPr>
      <w:numPr>
        <w:numId w:val="10"/>
      </w:numPr>
    </w:pPr>
  </w:style>
  <w:style w:type="paragraph" w:customStyle="1" w:styleId="Frameforbottomofthemargin">
    <w:name w:val="Frame for bottom of the margin"/>
    <w:basedOn w:val="Normal"/>
    <w:uiPriority w:val="99"/>
    <w:qFormat/>
    <w:rsid w:val="00A43282"/>
    <w:pPr>
      <w:framePr w:w="8505" w:wrap="notBeside" w:hAnchor="margin" w:yAlign="bottom"/>
    </w:pPr>
  </w:style>
  <w:style w:type="table" w:styleId="PlainTable2">
    <w:name w:val="Plain Table 2"/>
    <w:basedOn w:val="TableNormal"/>
    <w:uiPriority w:val="42"/>
    <w:locked/>
    <w:rsid w:val="00E50B4F"/>
    <w:pPr>
      <w:spacing w:before="0" w:after="0"/>
      <w:jc w:val="left"/>
    </w:pPr>
    <w:tblPr>
      <w:tblStyleRowBandSize w:val="1"/>
      <w:tblStyleColBandSize w:val="1"/>
      <w:tblCellMar>
        <w:top w:w="28" w:type="dxa"/>
        <w:left w:w="0" w:type="dxa"/>
        <w:bottom w:w="28" w:type="dxa"/>
        <w:right w:w="0" w:type="dxa"/>
      </w:tblCellMar>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BNAddressthirdpage">
    <w:name w:val="ABN Address third page"/>
    <w:basedOn w:val="ABNAddressSecondpage"/>
    <w:uiPriority w:val="99"/>
    <w:qFormat/>
    <w:rsid w:val="003205CD"/>
    <w:pPr>
      <w:framePr w:w="6804" w:wrap="notBeside" w:vAnchor="margin" w:hAnchor="text" w:x="-566" w:yAlign="top"/>
    </w:pPr>
  </w:style>
  <w:style w:type="paragraph" w:customStyle="1" w:styleId="PageNumber1">
    <w:name w:val="Page Number1"/>
    <w:basedOn w:val="Footer"/>
    <w:uiPriority w:val="99"/>
    <w:qFormat/>
    <w:rsid w:val="00EB22DC"/>
    <w:pPr>
      <w:spacing w:after="360"/>
    </w:pPr>
    <w:rPr>
      <w:color w:val="253D90" w:themeColor="text2"/>
      <w:sz w:val="16"/>
    </w:rPr>
  </w:style>
  <w:style w:type="paragraph" w:customStyle="1" w:styleId="Source">
    <w:name w:val="Source"/>
    <w:basedOn w:val="Normal"/>
    <w:uiPriority w:val="24"/>
    <w:qFormat/>
    <w:rsid w:val="002F70C4"/>
    <w:pPr>
      <w:spacing w:before="0" w:after="0"/>
    </w:pPr>
    <w:rPr>
      <w:sz w:val="16"/>
    </w:rPr>
  </w:style>
  <w:style w:type="paragraph" w:customStyle="1" w:styleId="TableHeading">
    <w:name w:val="Table Heading"/>
    <w:basedOn w:val="Normal"/>
    <w:uiPriority w:val="25"/>
    <w:qFormat/>
    <w:rsid w:val="00623A7E"/>
    <w:pPr>
      <w:spacing w:before="0" w:after="0"/>
    </w:pPr>
    <w:rPr>
      <w:b/>
      <w:color w:val="FFFFFF" w:themeColor="background1"/>
    </w:rPr>
  </w:style>
  <w:style w:type="paragraph" w:customStyle="1" w:styleId="TableBodyText">
    <w:name w:val="Table Body Text"/>
    <w:basedOn w:val="Normal"/>
    <w:uiPriority w:val="24"/>
    <w:qFormat/>
    <w:rsid w:val="00FA44CF"/>
    <w:pPr>
      <w:spacing w:before="120" w:line="220" w:lineRule="exact"/>
    </w:pPr>
    <w:rPr>
      <w:sz w:val="18"/>
    </w:rPr>
  </w:style>
  <w:style w:type="table" w:styleId="GridTable1Light">
    <w:name w:val="Grid Table 1 Light"/>
    <w:basedOn w:val="TableNormal"/>
    <w:uiPriority w:val="46"/>
    <w:locked/>
    <w:rsid w:val="002002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ubtitleCharacter">
    <w:name w:val="Subtitle Character"/>
    <w:basedOn w:val="DefaultParagraphFont"/>
    <w:uiPriority w:val="34"/>
    <w:qFormat/>
    <w:rsid w:val="00074ACB"/>
    <w:rPr>
      <w:b/>
      <w:color w:val="D7DCE2" w:themeColor="accent4"/>
    </w:rPr>
  </w:style>
  <w:style w:type="table" w:customStyle="1" w:styleId="BlueCoverTable">
    <w:name w:val="Blue Cover Table"/>
    <w:basedOn w:val="TableNormal"/>
    <w:uiPriority w:val="99"/>
    <w:rsid w:val="00E50B4F"/>
    <w:pPr>
      <w:spacing w:before="0" w:after="0" w:line="240" w:lineRule="auto"/>
      <w:jc w:val="left"/>
    </w:pPr>
    <w:rPr>
      <w:b/>
      <w:color w:val="D7DCE2" w:themeColor="accent4"/>
      <w:sz w:val="24"/>
    </w:rPr>
    <w:tblPr>
      <w:tblCellMar>
        <w:left w:w="0" w:type="dxa"/>
        <w:right w:w="0" w:type="dxa"/>
      </w:tblCellMar>
    </w:tblPr>
    <w:tcPr>
      <w:shd w:val="clear" w:color="auto" w:fill="auto"/>
    </w:tcPr>
    <w:tblStylePr w:type="firstRow">
      <w:rPr>
        <w:rFonts w:ascii="Tw Cen MT" w:hAnsi="Tw Cen MT"/>
        <w:b w:val="0"/>
        <w:caps/>
        <w:smallCaps w:val="0"/>
        <w:color w:val="F47920" w:themeColor="background2"/>
        <w:sz w:val="48"/>
      </w:rPr>
    </w:tblStylePr>
  </w:style>
  <w:style w:type="table" w:customStyle="1" w:styleId="WhiteCoverTable">
    <w:name w:val="White Cover Table"/>
    <w:basedOn w:val="BlueCoverTable"/>
    <w:uiPriority w:val="99"/>
    <w:rsid w:val="00154B1C"/>
    <w:pPr>
      <w:spacing w:before="120" w:after="120" w:line="220" w:lineRule="exact"/>
    </w:pPr>
    <w:rPr>
      <w:color w:val="253D90" w:themeColor="text2"/>
    </w:rPr>
    <w:tblPr/>
    <w:tcPr>
      <w:shd w:val="clear" w:color="auto" w:fill="auto"/>
    </w:tcPr>
    <w:tblStylePr w:type="firstRow">
      <w:rPr>
        <w:rFonts w:ascii="Tw Cen MT" w:hAnsi="Tw Cen MT"/>
        <w:b w:val="0"/>
        <w:caps/>
        <w:smallCaps w:val="0"/>
        <w:color w:val="F47920" w:themeColor="background2"/>
        <w:sz w:val="48"/>
      </w:rPr>
    </w:tblStylePr>
  </w:style>
  <w:style w:type="table" w:styleId="PlainTable1">
    <w:name w:val="Plain Table 1"/>
    <w:basedOn w:val="TableNormal"/>
    <w:uiPriority w:val="41"/>
    <w:locked/>
    <w:rsid w:val="00E50B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etextwhite">
    <w:name w:val="Figure text white"/>
    <w:basedOn w:val="Normal"/>
    <w:uiPriority w:val="24"/>
    <w:qFormat/>
    <w:rsid w:val="0049046A"/>
    <w:pPr>
      <w:spacing w:before="0" w:after="0"/>
      <w:jc w:val="center"/>
    </w:pPr>
    <w:rPr>
      <w:color w:val="FFFFFF" w:themeColor="background1"/>
    </w:rPr>
  </w:style>
  <w:style w:type="paragraph" w:customStyle="1" w:styleId="Figuretextblack">
    <w:name w:val="Figure text black"/>
    <w:basedOn w:val="Normal"/>
    <w:uiPriority w:val="24"/>
    <w:qFormat/>
    <w:rsid w:val="0049046A"/>
    <w:pPr>
      <w:spacing w:before="0" w:after="0"/>
      <w:jc w:val="center"/>
    </w:pPr>
  </w:style>
  <w:style w:type="character" w:customStyle="1" w:styleId="BoldCharacter">
    <w:name w:val="Bold Character"/>
    <w:basedOn w:val="SubtitleCharacter"/>
    <w:uiPriority w:val="1"/>
    <w:qFormat/>
    <w:rsid w:val="00A127EB"/>
    <w:rPr>
      <w:rFonts w:asciiTheme="majorHAnsi" w:hAnsiTheme="majorHAnsi"/>
      <w:b/>
      <w:color w:val="000000" w:themeColor="text1"/>
    </w:rPr>
  </w:style>
  <w:style w:type="numbering" w:customStyle="1" w:styleId="TableBullet">
    <w:name w:val="Table Bullet"/>
    <w:basedOn w:val="Lists"/>
    <w:uiPriority w:val="99"/>
    <w:rsid w:val="00F01B67"/>
    <w:pPr>
      <w:numPr>
        <w:numId w:val="11"/>
      </w:numPr>
    </w:pPr>
  </w:style>
  <w:style w:type="paragraph" w:customStyle="1" w:styleId="TableBullet1">
    <w:name w:val="Table Bullet 1"/>
    <w:basedOn w:val="TableBodyText"/>
    <w:uiPriority w:val="24"/>
    <w:qFormat/>
    <w:rsid w:val="00F01B67"/>
    <w:pPr>
      <w:numPr>
        <w:numId w:val="12"/>
      </w:numPr>
      <w:jc w:val="left"/>
    </w:pPr>
    <w:rPr>
      <w:color w:val="000000" w:themeColor="text1"/>
    </w:rPr>
  </w:style>
  <w:style w:type="paragraph" w:customStyle="1" w:styleId="TableBullet2">
    <w:name w:val="Table Bullet 2"/>
    <w:basedOn w:val="TableBodyText"/>
    <w:uiPriority w:val="24"/>
    <w:qFormat/>
    <w:rsid w:val="00F01B67"/>
    <w:pPr>
      <w:numPr>
        <w:ilvl w:val="1"/>
        <w:numId w:val="12"/>
      </w:numPr>
      <w:jc w:val="left"/>
    </w:pPr>
    <w:rPr>
      <w:color w:val="000000" w:themeColor="text1"/>
    </w:rPr>
  </w:style>
  <w:style w:type="numbering" w:customStyle="1" w:styleId="TableList">
    <w:name w:val="Table List"/>
    <w:basedOn w:val="Lists"/>
    <w:uiPriority w:val="99"/>
    <w:rsid w:val="00F01B67"/>
    <w:pPr>
      <w:numPr>
        <w:numId w:val="13"/>
      </w:numPr>
    </w:pPr>
  </w:style>
  <w:style w:type="paragraph" w:customStyle="1" w:styleId="TableList1">
    <w:name w:val="Table List 1."/>
    <w:basedOn w:val="Normal"/>
    <w:uiPriority w:val="24"/>
    <w:qFormat/>
    <w:rsid w:val="00F01B67"/>
    <w:pPr>
      <w:numPr>
        <w:numId w:val="14"/>
      </w:numPr>
      <w:spacing w:before="120" w:line="220" w:lineRule="atLeast"/>
    </w:pPr>
    <w:rPr>
      <w:sz w:val="18"/>
    </w:rPr>
  </w:style>
  <w:style w:type="paragraph" w:customStyle="1" w:styleId="TableLista">
    <w:name w:val="Table List a."/>
    <w:basedOn w:val="Normal"/>
    <w:uiPriority w:val="24"/>
    <w:qFormat/>
    <w:rsid w:val="00F01B67"/>
    <w:pPr>
      <w:numPr>
        <w:ilvl w:val="1"/>
        <w:numId w:val="14"/>
      </w:numPr>
      <w:spacing w:before="120" w:line="220" w:lineRule="atLeast"/>
    </w:pPr>
    <w:rPr>
      <w:sz w:val="18"/>
    </w:rPr>
  </w:style>
  <w:style w:type="paragraph" w:styleId="Revision">
    <w:name w:val="Revision"/>
    <w:hidden/>
    <w:uiPriority w:val="99"/>
    <w:semiHidden/>
    <w:rsid w:val="00D431AA"/>
    <w:pPr>
      <w:spacing w:before="0" w:after="0" w:line="240" w:lineRule="auto"/>
      <w:jc w:val="left"/>
    </w:pPr>
  </w:style>
  <w:style w:type="character" w:customStyle="1" w:styleId="fontstyle01">
    <w:name w:val="fontstyle01"/>
    <w:basedOn w:val="DefaultParagraphFont"/>
    <w:rsid w:val="002F49B4"/>
    <w:rPr>
      <w:rFonts w:ascii="LeelawadeeUI-Bold" w:hAnsi="LeelawadeeUI-Bold" w:hint="default"/>
      <w:b/>
      <w:bCs/>
      <w:i w:val="0"/>
      <w:iCs w:val="0"/>
      <w:color w:val="000000"/>
      <w:sz w:val="20"/>
      <w:szCs w:val="20"/>
    </w:rPr>
  </w:style>
  <w:style w:type="character" w:customStyle="1" w:styleId="fontstyle21">
    <w:name w:val="fontstyle21"/>
    <w:basedOn w:val="DefaultParagraphFont"/>
    <w:rsid w:val="002F49B4"/>
    <w:rPr>
      <w:rFonts w:ascii="LeelawadeeUI-Semilight" w:hAnsi="LeelawadeeUI-Semilight" w:hint="default"/>
      <w:b w:val="0"/>
      <w:bCs w:val="0"/>
      <w:i w:val="0"/>
      <w:iCs w:val="0"/>
      <w:color w:val="000000"/>
      <w:sz w:val="20"/>
      <w:szCs w:val="20"/>
    </w:rPr>
  </w:style>
  <w:style w:type="character" w:customStyle="1" w:styleId="fontstyle31">
    <w:name w:val="fontstyle31"/>
    <w:basedOn w:val="DefaultParagraphFont"/>
    <w:rsid w:val="002F49B4"/>
    <w:rPr>
      <w:rFonts w:ascii="SymbolMT" w:hAnsi="SymbolMT" w:hint="default"/>
      <w:b w:val="0"/>
      <w:bCs w:val="0"/>
      <w:i w:val="0"/>
      <w:iCs w:val="0"/>
      <w:color w:val="000000"/>
      <w:sz w:val="20"/>
      <w:szCs w:val="20"/>
    </w:rPr>
  </w:style>
  <w:style w:type="paragraph" w:customStyle="1" w:styleId="legalRecital1">
    <w:name w:val="legalRecital1"/>
    <w:basedOn w:val="Normal"/>
    <w:qFormat/>
    <w:rsid w:val="003C73CE"/>
    <w:pPr>
      <w:numPr>
        <w:numId w:val="40"/>
      </w:numPr>
      <w:spacing w:after="0" w:line="240" w:lineRule="auto"/>
      <w:jc w:val="left"/>
    </w:pPr>
    <w:rPr>
      <w:rFonts w:ascii="Arial" w:eastAsia="Times New Roman" w:hAnsi="Arial"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74381">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55845130">
      <w:bodyDiv w:val="1"/>
      <w:marLeft w:val="0"/>
      <w:marRight w:val="0"/>
      <w:marTop w:val="0"/>
      <w:marBottom w:val="0"/>
      <w:divBdr>
        <w:top w:val="none" w:sz="0" w:space="0" w:color="auto"/>
        <w:left w:val="none" w:sz="0" w:space="0" w:color="auto"/>
        <w:bottom w:val="none" w:sz="0" w:space="0" w:color="auto"/>
        <w:right w:val="none" w:sz="0" w:space="0" w:color="auto"/>
      </w:divBdr>
    </w:div>
    <w:div w:id="188684907">
      <w:bodyDiv w:val="1"/>
      <w:marLeft w:val="0"/>
      <w:marRight w:val="0"/>
      <w:marTop w:val="0"/>
      <w:marBottom w:val="0"/>
      <w:divBdr>
        <w:top w:val="none" w:sz="0" w:space="0" w:color="auto"/>
        <w:left w:val="none" w:sz="0" w:space="0" w:color="auto"/>
        <w:bottom w:val="none" w:sz="0" w:space="0" w:color="auto"/>
        <w:right w:val="none" w:sz="0" w:space="0" w:color="auto"/>
      </w:divBdr>
    </w:div>
    <w:div w:id="446703979">
      <w:bodyDiv w:val="1"/>
      <w:marLeft w:val="0"/>
      <w:marRight w:val="0"/>
      <w:marTop w:val="0"/>
      <w:marBottom w:val="0"/>
      <w:divBdr>
        <w:top w:val="none" w:sz="0" w:space="0" w:color="auto"/>
        <w:left w:val="none" w:sz="0" w:space="0" w:color="auto"/>
        <w:bottom w:val="none" w:sz="0" w:space="0" w:color="auto"/>
        <w:right w:val="none" w:sz="0" w:space="0" w:color="auto"/>
      </w:divBdr>
    </w:div>
    <w:div w:id="502668905">
      <w:bodyDiv w:val="1"/>
      <w:marLeft w:val="0"/>
      <w:marRight w:val="0"/>
      <w:marTop w:val="0"/>
      <w:marBottom w:val="0"/>
      <w:divBdr>
        <w:top w:val="none" w:sz="0" w:space="0" w:color="auto"/>
        <w:left w:val="none" w:sz="0" w:space="0" w:color="auto"/>
        <w:bottom w:val="none" w:sz="0" w:space="0" w:color="auto"/>
        <w:right w:val="none" w:sz="0" w:space="0" w:color="auto"/>
      </w:divBdr>
    </w:div>
    <w:div w:id="73525126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98806116">
      <w:bodyDiv w:val="1"/>
      <w:marLeft w:val="0"/>
      <w:marRight w:val="0"/>
      <w:marTop w:val="0"/>
      <w:marBottom w:val="0"/>
      <w:divBdr>
        <w:top w:val="none" w:sz="0" w:space="0" w:color="auto"/>
        <w:left w:val="none" w:sz="0" w:space="0" w:color="auto"/>
        <w:bottom w:val="none" w:sz="0" w:space="0" w:color="auto"/>
        <w:right w:val="none" w:sz="0" w:space="0" w:color="auto"/>
      </w:divBdr>
    </w:div>
    <w:div w:id="2029062369">
      <w:bodyDiv w:val="1"/>
      <w:marLeft w:val="0"/>
      <w:marRight w:val="0"/>
      <w:marTop w:val="0"/>
      <w:marBottom w:val="0"/>
      <w:divBdr>
        <w:top w:val="none" w:sz="0" w:space="0" w:color="auto"/>
        <w:left w:val="none" w:sz="0" w:space="0" w:color="auto"/>
        <w:bottom w:val="none" w:sz="0" w:space="0" w:color="auto"/>
        <w:right w:val="none" w:sz="0" w:space="0" w:color="auto"/>
      </w:divBdr>
    </w:div>
    <w:div w:id="209054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onCarle\Documents\Custom%20Office%20Templates\GLN%20Planning%20Report%20Base%20Template%20V4.8.dotx" TargetMode="External"/></Relationships>
</file>

<file path=word/theme/theme1.xml><?xml version="1.0" encoding="utf-8"?>
<a:theme xmlns:a="http://schemas.openxmlformats.org/drawingml/2006/main" name="Office Theme">
  <a:themeElements>
    <a:clrScheme name="GLN Planning">
      <a:dk1>
        <a:sysClr val="windowText" lastClr="000000"/>
      </a:dk1>
      <a:lt1>
        <a:sysClr val="window" lastClr="FFFFFF"/>
      </a:lt1>
      <a:dk2>
        <a:srgbClr val="253D90"/>
      </a:dk2>
      <a:lt2>
        <a:srgbClr val="F47920"/>
      </a:lt2>
      <a:accent1>
        <a:srgbClr val="253D90"/>
      </a:accent1>
      <a:accent2>
        <a:srgbClr val="F47920"/>
      </a:accent2>
      <a:accent3>
        <a:srgbClr val="68878E"/>
      </a:accent3>
      <a:accent4>
        <a:srgbClr val="D7DCE2"/>
      </a:accent4>
      <a:accent5>
        <a:srgbClr val="96A7E4"/>
      </a:accent5>
      <a:accent6>
        <a:srgbClr val="EAEAEA"/>
      </a:accent6>
      <a:hlink>
        <a:srgbClr val="253D90"/>
      </a:hlink>
      <a:folHlink>
        <a:srgbClr val="919191"/>
      </a:folHlink>
    </a:clrScheme>
    <a:fontScheme name="GLN Planning">
      <a:majorFont>
        <a:latin typeface="Leelawadee UI"/>
        <a:ea typeface=""/>
        <a:cs typeface=""/>
      </a:majorFont>
      <a:minorFont>
        <a:latin typeface="Leelawadee UI Semi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7a2cd4-c344-40f6-9ace-a98720887d0c">
      <Terms xmlns="http://schemas.microsoft.com/office/infopath/2007/PartnerControls"/>
    </lcf76f155ced4ddcb4097134ff3c332f>
    <TaxCatchAll xmlns="4492c5bf-6769-4732-a53b-5ae9798f89c8" xsi:nil="true"/>
    <Contributions xmlns="b77a2cd4-c344-40f6-9ace-a98720887d0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DAA74215C5E14AB4D000DEBEEE51E6" ma:contentTypeVersion="18" ma:contentTypeDescription="Create a new document." ma:contentTypeScope="" ma:versionID="626cf1e75dd03ccfeb8166ab0b15070b">
  <xsd:schema xmlns:xsd="http://www.w3.org/2001/XMLSchema" xmlns:xs="http://www.w3.org/2001/XMLSchema" xmlns:p="http://schemas.microsoft.com/office/2006/metadata/properties" xmlns:ns2="b77a2cd4-c344-40f6-9ace-a98720887d0c" xmlns:ns3="4492c5bf-6769-4732-a53b-5ae9798f89c8" targetNamespace="http://schemas.microsoft.com/office/2006/metadata/properties" ma:root="true" ma:fieldsID="f8a34184e76464af74483dcfd9bf992c" ns2:_="" ns3:_="">
    <xsd:import namespace="b77a2cd4-c344-40f6-9ace-a98720887d0c"/>
    <xsd:import namespace="4492c5bf-6769-4732-a53b-5ae9798f89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Contribution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a2cd4-c344-40f6-9ace-a98720887d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aaecb9e-feaf-46cf-9c91-c06a50fcc110" ma:termSetId="09814cd3-568e-fe90-9814-8d621ff8fb84" ma:anchorId="fba54fb3-c3e1-fe81-a776-ca4b69148c4d" ma:open="true" ma:isKeyword="false">
      <xsd:complexType>
        <xsd:sequence>
          <xsd:element ref="pc:Terms" minOccurs="0" maxOccurs="1"/>
        </xsd:sequence>
      </xsd:complexType>
    </xsd:element>
    <xsd:element name="Contributions" ma:index="23" nillable="true" ma:displayName="Contributions" ma:format="Dropdown" ma:internalName="Contributions">
      <xsd:simpleType>
        <xsd:restriction base="dms:Text">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92c5bf-6769-4732-a53b-5ae9798f89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6351c96-e426-4ead-ab35-ddf0a333dfd2}" ma:internalName="TaxCatchAll" ma:showField="CatchAllData" ma:web="4492c5bf-6769-4732-a53b-5ae9798f89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p r o p e r t i e s   x m l n s = " h t t p : / / w w w . i m a n a g e . c o m / w o r k / x m l s c h e m a " >  
     < d o c u m e n t i d > M A T T E R S ! 4 2 1 4 9 8 5 4 . 1 < / d o c u m e n t i d >  
     < s e n d e r i d > T H I S < / s e n d e r i d >  
     < s e n d e r e m a i l > T E R E S A . H I S L O P @ M A D D O C K S . C O M . A U < / s e n d e r e m a i l >  
     < l a s t m o d i f i e d > 2 0 2 4 - 0 1 - 1 4 T 1 8 : 0 3 : 0 0 . 0 0 0 0 0 0 0 + 1 1 : 0 0 < / l a s t m o d i f i e d >  
     < d a t a b a s e > M A T T E R S < / d a t a b a s e >  
 < / p r o p e r t i e s > 
</file>

<file path=customXml/itemProps1.xml><?xml version="1.0" encoding="utf-8"?>
<ds:datastoreItem xmlns:ds="http://schemas.openxmlformats.org/officeDocument/2006/customXml" ds:itemID="{EC8645F4-FCE4-4304-ACFE-D389968FFC8F}">
  <ds:schemaRefs>
    <ds:schemaRef ds:uri="http://schemas.openxmlformats.org/officeDocument/2006/bibliography"/>
  </ds:schemaRefs>
</ds:datastoreItem>
</file>

<file path=customXml/itemProps2.xml><?xml version="1.0" encoding="utf-8"?>
<ds:datastoreItem xmlns:ds="http://schemas.openxmlformats.org/officeDocument/2006/customXml" ds:itemID="{EE96C6B0-4A68-4001-828D-196CEA1EB227}">
  <ds:schemaRefs>
    <ds:schemaRef ds:uri="http://schemas.microsoft.com/sharepoint/v3/contenttype/forms"/>
  </ds:schemaRefs>
</ds:datastoreItem>
</file>

<file path=customXml/itemProps3.xml><?xml version="1.0" encoding="utf-8"?>
<ds:datastoreItem xmlns:ds="http://schemas.openxmlformats.org/officeDocument/2006/customXml" ds:itemID="{658816D7-B250-47C1-8F21-BBA65D77ADF1}">
  <ds:schemaRefs>
    <ds:schemaRef ds:uri="http://schemas.microsoft.com/office/2006/metadata/properties"/>
    <ds:schemaRef ds:uri="http://schemas.microsoft.com/office/infopath/2007/PartnerControls"/>
    <ds:schemaRef ds:uri="b77a2cd4-c344-40f6-9ace-a98720887d0c"/>
    <ds:schemaRef ds:uri="4492c5bf-6769-4732-a53b-5ae9798f89c8"/>
  </ds:schemaRefs>
</ds:datastoreItem>
</file>

<file path=customXml/itemProps4.xml><?xml version="1.0" encoding="utf-8"?>
<ds:datastoreItem xmlns:ds="http://schemas.openxmlformats.org/officeDocument/2006/customXml" ds:itemID="{C384EA48-2F03-47FB-8298-0FE6425E2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a2cd4-c344-40f6-9ace-a98720887d0c"/>
    <ds:schemaRef ds:uri="4492c5bf-6769-4732-a53b-5ae9798f8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049915-18D5-4050-BA23-7F9525CD07E2}">
  <ds:schemaRefs>
    <ds:schemaRef ds:uri="http://www.imanage.com/work/xmlschema"/>
  </ds:schemaRefs>
</ds:datastoreItem>
</file>

<file path=docMetadata/LabelInfo.xml><?xml version="1.0" encoding="utf-8"?>
<clbl:labelList xmlns:clbl="http://schemas.microsoft.com/office/2020/mipLabelMetadata">
  <clbl:label id="{950e1170-8efe-4737-805c-2fef7d6b17e8}" enabled="0" method="" siteId="{950e1170-8efe-4737-805c-2fef7d6b17e8}" removed="1"/>
</clbl:labelList>
</file>

<file path=docProps/app.xml><?xml version="1.0" encoding="utf-8"?>
<Properties xmlns="http://schemas.openxmlformats.org/officeDocument/2006/extended-properties" xmlns:vt="http://schemas.openxmlformats.org/officeDocument/2006/docPropsVTypes">
  <Template>GLN Planning Report Base Template V4.8.dotx</Template>
  <TotalTime>0</TotalTime>
  <Pages>18</Pages>
  <Words>4166</Words>
  <Characters>23000</Characters>
  <Application>Microsoft Office Word</Application>
  <DocSecurity>0</DocSecurity>
  <Lines>547</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Jonathon Carle</dc:creator>
  <cp:lastModifiedBy>Brendan Hayes</cp:lastModifiedBy>
  <cp:revision>2</cp:revision>
  <cp:lastPrinted>2023-10-11T04:05:00Z</cp:lastPrinted>
  <dcterms:created xsi:type="dcterms:W3CDTF">2024-11-28T23:04:00Z</dcterms:created>
  <dcterms:modified xsi:type="dcterms:W3CDTF">2024-11-28T23:04:00Z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0x01010020DAA74215C5E14AB4D000DEBEEE51E6</vt:lpwstr>
  </property>
  <property fmtid="{D5CDD505-2E9C-101B-9397-08002B2CF9AE}" pid="5" name="MediaServiceImageTags">
    <vt:lpwstr/>
  </property>
</Properties>
</file>